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38704">
      <w:pPr>
        <w:pStyle w:val="19"/>
        <w:jc w:val="center"/>
        <w:rPr>
          <w:sz w:val="32"/>
          <w:szCs w:val="32"/>
        </w:rPr>
      </w:pPr>
      <w:bookmarkStart w:id="0" w:name="_GoBack"/>
      <w:r>
        <w:rPr>
          <w:rFonts w:hint="eastAsia"/>
          <w:sz w:val="32"/>
          <w:szCs w:val="32"/>
          <w:lang w:val="en-US" w:eastAsia="zh-CN"/>
        </w:rPr>
        <w:t>文翰府</w:t>
      </w:r>
      <w:r>
        <w:rPr>
          <w:sz w:val="32"/>
          <w:szCs w:val="32"/>
        </w:rPr>
        <w:t>广告租赁合同</w:t>
      </w:r>
    </w:p>
    <w:bookmarkEnd w:id="0"/>
    <w:p w14:paraId="406967D3">
      <w:pPr>
        <w:pStyle w:val="19"/>
      </w:pPr>
    </w:p>
    <w:p w14:paraId="19484367">
      <w:pPr>
        <w:pStyle w:val="19"/>
        <w:rPr>
          <w:rFonts w:hint="default" w:eastAsia="微软雅黑"/>
          <w:lang w:val="en-US" w:eastAsia="zh-CN"/>
        </w:rPr>
      </w:pPr>
      <w:r>
        <w:t>甲方（物业方）：</w:t>
      </w:r>
      <w:r>
        <w:rPr>
          <w:rFonts w:hint="eastAsia"/>
          <w:lang w:val="en-US" w:eastAsia="zh-CN"/>
        </w:rPr>
        <w:t>阜阳市乐居资产供应链有限公司</w:t>
      </w:r>
    </w:p>
    <w:p w14:paraId="655702AC">
      <w:pPr>
        <w:pStyle w:val="19"/>
      </w:pPr>
      <w:r>
        <w:t>地址：</w:t>
      </w:r>
      <w:r>
        <w:rPr>
          <w:rFonts w:hint="eastAsia"/>
        </w:rPr>
        <w:t>安徽省阜阳市颍州区清河街道颍州区淮河路2000号</w:t>
      </w:r>
    </w:p>
    <w:p w14:paraId="006A877C">
      <w:pPr>
        <w:pStyle w:val="19"/>
        <w:rPr>
          <w:rFonts w:hint="default" w:eastAsia="微软雅黑"/>
          <w:lang w:val="en-US" w:eastAsia="zh-CN"/>
        </w:rPr>
      </w:pPr>
      <w:r>
        <w:t>乙方：</w:t>
      </w:r>
      <w:r>
        <w:rPr>
          <w:rFonts w:hint="eastAsia"/>
          <w:lang w:val="en-US" w:eastAsia="zh-CN"/>
        </w:rPr>
        <w:t>XXXXXXX</w:t>
      </w:r>
    </w:p>
    <w:p w14:paraId="522D3714">
      <w:pPr>
        <w:pStyle w:val="19"/>
        <w:rPr>
          <w:rFonts w:hint="eastAsia"/>
          <w:lang w:val="en-US" w:eastAsia="zh-CN"/>
        </w:rPr>
      </w:pPr>
      <w:r>
        <w:t>地址：</w:t>
      </w:r>
      <w:r>
        <w:rPr>
          <w:rFonts w:hint="eastAsia"/>
          <w:lang w:val="en-US" w:eastAsia="zh-CN"/>
        </w:rPr>
        <w:t>XXXXXXX</w:t>
      </w:r>
    </w:p>
    <w:p w14:paraId="4073875D">
      <w:pPr>
        <w:pStyle w:val="19"/>
        <w:rPr>
          <w:rFonts w:hint="default"/>
          <w:lang w:val="en-US" w:eastAsia="zh-CN"/>
        </w:rPr>
      </w:pPr>
    </w:p>
    <w:p w14:paraId="0FCC3A93">
      <w:pPr>
        <w:pStyle w:val="19"/>
        <w:ind w:firstLine="440" w:firstLineChars="200"/>
      </w:pPr>
      <w:r>
        <w:t>甲乙双方本着平等、自愿、诚实信用的原则以及互惠互利、共同发展的目的，甲乙双方经友好协商，为建立合作伙伴关系达成以下协议。本合作协议由通用条款和专用条款以及附件组成，通用条款、专用条款以及附件统称为“本协议”。</w:t>
      </w:r>
    </w:p>
    <w:p w14:paraId="101F16AA">
      <w:pPr>
        <w:pStyle w:val="19"/>
        <w:jc w:val="center"/>
      </w:pPr>
      <w:r>
        <w:t>第一部分 通用条款</w:t>
      </w:r>
    </w:p>
    <w:p w14:paraId="0650AD2C">
      <w:pPr>
        <w:pStyle w:val="19"/>
        <w:ind w:firstLine="440" w:firstLineChars="200"/>
      </w:pPr>
      <w:r>
        <w:t>除非专用条款另行规定，专用条款中使用的未经定义的特定词语应具有通用条款赋予其的含义。双方在专用条款中的约定是对第一部分通用条款的修订和补充，供双方遵守</w:t>
      </w:r>
      <w:r>
        <w:rPr>
          <w:rFonts w:hint="eastAsia"/>
          <w:lang w:eastAsia="zh-CN"/>
        </w:rPr>
        <w:t>、</w:t>
      </w:r>
      <w:r>
        <w:t>履行。</w:t>
      </w:r>
    </w:p>
    <w:p w14:paraId="7FB4C2A1">
      <w:pPr>
        <w:pStyle w:val="19"/>
      </w:pPr>
      <w:r>
        <w:t>一、合作总则</w:t>
      </w:r>
    </w:p>
    <w:p w14:paraId="6E48AF9D">
      <w:pPr>
        <w:pStyle w:val="19"/>
        <w:ind w:firstLine="440" w:firstLineChars="200"/>
      </w:pPr>
      <w:r>
        <w:t>1.甲乙双方具体的合作范围，以及合作品类及专业范围等，均依据双方在专用条款中的约定执行。</w:t>
      </w:r>
    </w:p>
    <w:p w14:paraId="2DD28736">
      <w:pPr>
        <w:pStyle w:val="19"/>
        <w:ind w:firstLine="440" w:firstLineChars="200"/>
      </w:pPr>
      <w:r>
        <w:t>2.乙方应当具备签署及履行本协议项下相关义务的合法资质，在本协议签订的同时，乙方应当出具营业执照、工程设计与施工资质证书（如需）等甲方所要求的证书文件，复印件由甲方留存，原件供核对。</w:t>
      </w:r>
    </w:p>
    <w:p w14:paraId="67D63B89">
      <w:pPr>
        <w:pStyle w:val="19"/>
      </w:pPr>
      <w:r>
        <w:t>二、双方权利义务</w:t>
      </w:r>
    </w:p>
    <w:p w14:paraId="6ACBC637">
      <w:pPr>
        <w:pStyle w:val="19"/>
      </w:pPr>
      <w:r>
        <w:t>1.甲方职责：</w:t>
      </w:r>
    </w:p>
    <w:p w14:paraId="177A960D">
      <w:pPr>
        <w:pStyle w:val="19"/>
      </w:pPr>
      <w:r>
        <w:t>（1)甲方有权对乙方在租赁场地的行为及经营进行监督，如发现乙方违反规定的行为有可能影响物业小区／园区业主、设施设备等安全的，甲方有权要求乙方立即停止并限期改正；乙方应在合理期限内予以改正。</w:t>
      </w:r>
    </w:p>
    <w:p w14:paraId="216A5A08">
      <w:pPr>
        <w:pStyle w:val="19"/>
      </w:pPr>
      <w:r>
        <w:t>（2)提供场地及必要的服务，并为该场地使用提供电源等必要条件。</w:t>
      </w:r>
    </w:p>
    <w:p w14:paraId="2CABA73D">
      <w:pPr>
        <w:pStyle w:val="19"/>
      </w:pPr>
      <w:r>
        <w:t>（3)提供场地外围的秩序维护服务，如若发生失窃，或者第三方故意损坏的，积极配合乙方以及相关部门进行调查，取证等工作。</w:t>
      </w:r>
    </w:p>
    <w:p w14:paraId="09AA97BC">
      <w:pPr>
        <w:pStyle w:val="19"/>
      </w:pPr>
      <w:r>
        <w:t>（4)提供现场设备的日常监控，如出现设备异常运营，应及时通知乙方维修。</w:t>
      </w:r>
    </w:p>
    <w:p w14:paraId="18E68A23">
      <w:pPr>
        <w:pStyle w:val="19"/>
      </w:pPr>
      <w:r>
        <w:t>（5)甲方有权定期或临时进入租赁场地进行消防、用电等设施设备的安全检查，乙方有义务配合。</w:t>
      </w:r>
    </w:p>
    <w:p w14:paraId="0ADA229B">
      <w:pPr>
        <w:pStyle w:val="19"/>
      </w:pPr>
      <w:r>
        <w:t>（6)合作期间，甲方应为乙方提供相应的场地使用便利。</w:t>
      </w:r>
    </w:p>
    <w:p w14:paraId="12F5920D">
      <w:pPr>
        <w:pStyle w:val="19"/>
      </w:pPr>
      <w:r>
        <w:t>2.乙方职责：</w:t>
      </w:r>
    </w:p>
    <w:p w14:paraId="4F7D5700">
      <w:pPr>
        <w:pStyle w:val="19"/>
        <w:rPr>
          <w:rFonts w:hint="eastAsia"/>
        </w:rPr>
      </w:pPr>
      <w:r>
        <w:t>（1)乙方应自行将设备运送这租赁场地，并完成安装、调试。保证如果安装过程中破坏场地内原有的构造</w:t>
      </w:r>
      <w:r>
        <w:rPr>
          <w:rFonts w:hint="eastAsia"/>
        </w:rPr>
        <w:t>或设施设备的，应对破坏部位进行及时修复或支付修复费用，具体数额由甲乙双方协商决定;如造成损失，由乙方负责赔偿。</w:t>
      </w:r>
    </w:p>
    <w:p w14:paraId="68625313">
      <w:pPr>
        <w:pStyle w:val="19"/>
        <w:rPr>
          <w:rFonts w:hint="eastAsia"/>
        </w:rPr>
      </w:pPr>
      <w:r>
        <w:rPr>
          <w:rFonts w:hint="eastAsia"/>
        </w:rPr>
        <w:t>(2)乙方拥有设备的全部产权，乙方须保证设备运转的正确性，定期组织对设备的维护，如因设备故障给使用者造成的损失由乙方全权负责。如乙方的产品对第三方造成人身财产损失的，由乙方承担全部赔偿责任。</w:t>
      </w:r>
    </w:p>
    <w:p w14:paraId="58779914">
      <w:pPr>
        <w:pStyle w:val="19"/>
        <w:rPr>
          <w:rFonts w:hint="eastAsia"/>
        </w:rPr>
      </w:pPr>
      <w:r>
        <w:rPr>
          <w:rFonts w:hint="eastAsia"/>
        </w:rPr>
        <w:t>(3)如果乙方因经营需要对租赁场地内的消防、用电等设施设备进行调整或改造的，应将相关调整或改造方案提价甲方审核，经甲方书面确认后，方可施工。</w:t>
      </w:r>
    </w:p>
    <w:p w14:paraId="2FF19152">
      <w:pPr>
        <w:pStyle w:val="19"/>
        <w:rPr>
          <w:rFonts w:hint="eastAsia"/>
        </w:rPr>
      </w:pPr>
      <w:r>
        <w:rPr>
          <w:rFonts w:hint="eastAsia"/>
        </w:rPr>
        <w:t>(4)如果乙方实施调整或改造的，乙方须每月对租赁场地内部的消防、用电等设施设备状况进行一次安全检查，确保其处于正常使用状态。乙方应通过定期检查及时发现、排除安全隐患，且每次检查结果须到甲方处做好登记备案，并将检查记录以书面形式提供给甲方留存。</w:t>
      </w:r>
    </w:p>
    <w:p w14:paraId="1B241AA8">
      <w:pPr>
        <w:pStyle w:val="19"/>
        <w:rPr>
          <w:rFonts w:hint="eastAsia"/>
        </w:rPr>
      </w:pPr>
      <w:r>
        <w:rPr>
          <w:rFonts w:hint="eastAsia"/>
        </w:rPr>
        <w:t>(5)乙方须每月对设备及其用电状况进行一次安全检查，确保设备的正常使用，以及使用期间的安全，通过检查及时排除安全隐患，每次检查须到甲方处做好登记备案，并将检查记录以书面形式提供给甲方留存。</w:t>
      </w:r>
    </w:p>
    <w:p w14:paraId="57C648F2">
      <w:pPr>
        <w:pStyle w:val="19"/>
        <w:rPr>
          <w:rFonts w:hint="eastAsia"/>
        </w:rPr>
      </w:pPr>
      <w:r>
        <w:rPr>
          <w:rFonts w:hint="eastAsia"/>
        </w:rPr>
        <w:t>(6)如乙方在其设备上需要发布广告的，乙方承担向有关部门报批广告发布、广告制作(包括广告牌和广告喷画的制作)与安装(包括维护配件)。广告发布业务由乙方负责，与此相关的任何纠纷与甲方无关。因乙方未获得行政许可而导致甲方遭受行政处罚的，其一切经济、名誉损失由乙方负责。</w:t>
      </w:r>
    </w:p>
    <w:p w14:paraId="219AA09B">
      <w:pPr>
        <w:pStyle w:val="19"/>
        <w:rPr>
          <w:rFonts w:hint="eastAsia"/>
        </w:rPr>
      </w:pPr>
      <w:r>
        <w:rPr>
          <w:rFonts w:hint="eastAsia"/>
        </w:rPr>
        <w:t>(7)乙方每次发布或更换广告发布内容之前，必需提前告知甲方，并根据甲方要求定期报备发布内容。关于广告内容的发布，须遵守以下规则:</w:t>
      </w:r>
    </w:p>
    <w:p w14:paraId="6C4DE3A5">
      <w:pPr>
        <w:pStyle w:val="19"/>
        <w:rPr>
          <w:rFonts w:hint="eastAsia" w:eastAsia="微软雅黑"/>
          <w:lang w:eastAsia="zh-CN"/>
        </w:rPr>
      </w:pPr>
      <w:r>
        <w:rPr>
          <w:rFonts w:hint="eastAsia"/>
          <w:lang w:val="en-US" w:eastAsia="zh-CN"/>
        </w:rPr>
        <w:t>1）</w:t>
      </w:r>
      <w:r>
        <w:rPr>
          <w:rFonts w:hint="eastAsia"/>
        </w:rPr>
        <w:t>保证发布的广告内容和表现形式均符合《广告法》等国家相关法律、法规规定</w:t>
      </w:r>
      <w:r>
        <w:rPr>
          <w:rFonts w:hint="eastAsia"/>
          <w:lang w:eastAsia="zh-CN"/>
        </w:rPr>
        <w:t>；</w:t>
      </w:r>
    </w:p>
    <w:p w14:paraId="7F58246B">
      <w:pPr>
        <w:pStyle w:val="19"/>
        <w:rPr>
          <w:rFonts w:hint="eastAsia" w:eastAsia="微软雅黑"/>
          <w:lang w:eastAsia="zh-CN"/>
        </w:rPr>
      </w:pPr>
      <w:r>
        <w:rPr>
          <w:rFonts w:hint="eastAsia"/>
          <w:lang w:val="en-US" w:eastAsia="zh-CN"/>
        </w:rPr>
        <w:t>2）</w:t>
      </w:r>
      <w:r>
        <w:rPr>
          <w:rFonts w:hint="eastAsia"/>
        </w:rPr>
        <w:t>禁止发布任何关于药品类、成入围品于整容、整形、变性、男科或妇科医院等内容的广告</w:t>
      </w:r>
      <w:r>
        <w:rPr>
          <w:rFonts w:hint="eastAsia"/>
          <w:lang w:eastAsia="zh-CN"/>
        </w:rPr>
        <w:t>；</w:t>
      </w:r>
    </w:p>
    <w:p w14:paraId="71EAEDCB">
      <w:pPr>
        <w:pStyle w:val="19"/>
        <w:rPr>
          <w:rFonts w:hint="eastAsia" w:eastAsia="微软雅黑"/>
          <w:lang w:eastAsia="zh-CN"/>
        </w:rPr>
      </w:pPr>
      <w:r>
        <w:rPr>
          <w:rFonts w:hint="eastAsia"/>
          <w:lang w:val="en-US" w:eastAsia="zh-CN"/>
        </w:rPr>
        <w:t>3）</w:t>
      </w:r>
      <w:r>
        <w:rPr>
          <w:rFonts w:hint="eastAsia"/>
        </w:rPr>
        <w:t>禁止发布内容低俗，人体裸露尺度过大，不符合汉语使用规范，容易引起性暗示的广告</w:t>
      </w:r>
      <w:r>
        <w:rPr>
          <w:rFonts w:hint="eastAsia"/>
          <w:lang w:eastAsia="zh-CN"/>
        </w:rPr>
        <w:t>；</w:t>
      </w:r>
    </w:p>
    <w:p w14:paraId="3A72D7CE">
      <w:pPr>
        <w:pStyle w:val="19"/>
        <w:rPr>
          <w:rFonts w:hint="eastAsia" w:eastAsia="微软雅黑"/>
          <w:lang w:eastAsia="zh-CN"/>
        </w:rPr>
      </w:pPr>
      <w:r>
        <w:rPr>
          <w:rFonts w:hint="eastAsia"/>
          <w:lang w:val="en-US" w:eastAsia="zh-CN"/>
        </w:rPr>
        <w:t>3）</w:t>
      </w:r>
      <w:r>
        <w:rPr>
          <w:rFonts w:hint="eastAsia"/>
        </w:rPr>
        <w:t>除取得乙方授权外，广告内容不得发布与甲方产生竞争的物业服务、地产开发商类广告等，包括但不限于装修/拎包/租售/公寓/社交/二手市场/社区商业等的广告内容</w:t>
      </w:r>
      <w:r>
        <w:rPr>
          <w:rFonts w:hint="eastAsia"/>
          <w:lang w:eastAsia="zh-CN"/>
        </w:rPr>
        <w:t>；</w:t>
      </w:r>
    </w:p>
    <w:p w14:paraId="1D8774CB">
      <w:pPr>
        <w:pStyle w:val="19"/>
        <w:rPr>
          <w:rFonts w:hint="eastAsia" w:eastAsia="微软雅黑"/>
          <w:lang w:eastAsia="zh-CN"/>
        </w:rPr>
      </w:pPr>
      <w:r>
        <w:rPr>
          <w:rFonts w:hint="eastAsia"/>
          <w:lang w:val="en-US" w:eastAsia="zh-CN"/>
        </w:rPr>
        <w:t>5）</w:t>
      </w:r>
      <w:r>
        <w:rPr>
          <w:rFonts w:hint="eastAsia"/>
        </w:rPr>
        <w:t>广告内容不得侵犯第三人的知识产权等合法权益，否则，由此造成的损失由甲方承担</w:t>
      </w:r>
      <w:r>
        <w:rPr>
          <w:rFonts w:hint="eastAsia"/>
          <w:lang w:eastAsia="zh-CN"/>
        </w:rPr>
        <w:t>；</w:t>
      </w:r>
    </w:p>
    <w:p w14:paraId="5E7A6228">
      <w:pPr>
        <w:pStyle w:val="19"/>
        <w:rPr>
          <w:rFonts w:hint="eastAsia"/>
          <w:lang w:eastAsia="zh-CN"/>
        </w:rPr>
      </w:pPr>
      <w:r>
        <w:rPr>
          <w:rFonts w:hint="eastAsia"/>
          <w:lang w:val="en-US" w:eastAsia="zh-CN"/>
        </w:rPr>
        <w:t>6）</w:t>
      </w:r>
      <w:r>
        <w:rPr>
          <w:rFonts w:hint="eastAsia"/>
        </w:rPr>
        <w:t>在该广告位未按本合同约定的用途使用期间，甲方有权无偿在该广告位上发布公益广告和其他信息，乙方应给予配合;其他时间内，甲方如需使用该项目的广告位，需征得乙方同意</w:t>
      </w:r>
      <w:r>
        <w:rPr>
          <w:rFonts w:hint="eastAsia"/>
          <w:lang w:eastAsia="zh-CN"/>
        </w:rPr>
        <w:t>；</w:t>
      </w:r>
    </w:p>
    <w:p w14:paraId="0997CE4E">
      <w:pPr>
        <w:pStyle w:val="19"/>
        <w:rPr>
          <w:rFonts w:hint="eastAsia"/>
          <w:lang w:eastAsia="zh-CN"/>
        </w:rPr>
      </w:pPr>
      <w:r>
        <w:rPr>
          <w:rFonts w:hint="eastAsia"/>
          <w:lang w:eastAsia="zh-CN"/>
        </w:rPr>
        <w:t>(8)乙方保证租赁场地的安全性和合理性，若因乙方操作不当而造成对人员或物业设施的危害，由乙方承担相关责任。</w:t>
      </w:r>
    </w:p>
    <w:p w14:paraId="1E6F478A">
      <w:pPr>
        <w:pStyle w:val="19"/>
        <w:rPr>
          <w:rFonts w:hint="eastAsia"/>
          <w:lang w:eastAsia="zh-CN"/>
        </w:rPr>
      </w:pPr>
      <w:r>
        <w:rPr>
          <w:rFonts w:hint="eastAsia"/>
          <w:lang w:eastAsia="zh-CN"/>
        </w:rPr>
        <w:t>(9)在合同到期时，在同等条件下乙方有优先续约权;合同期满后，如甲乙双方未就继续签订合同达成一致意见的，乙方须于本合同期满后 10</w:t>
      </w:r>
      <w:r>
        <w:rPr>
          <w:rFonts w:hint="eastAsia"/>
          <w:lang w:val="en-US" w:eastAsia="zh-CN"/>
        </w:rPr>
        <w:t>日</w:t>
      </w:r>
      <w:r>
        <w:rPr>
          <w:rFonts w:hint="eastAsia"/>
          <w:lang w:eastAsia="zh-CN"/>
        </w:rPr>
        <w:t xml:space="preserve"> 内将租赁场地内的设备、物品移除并恢复原状，否则，甲方可自行拆除，因此产生的费用从保证金中扣除。</w:t>
      </w:r>
    </w:p>
    <w:p w14:paraId="3D14EE39">
      <w:pPr>
        <w:pStyle w:val="19"/>
        <w:rPr>
          <w:rFonts w:hint="eastAsia"/>
          <w:lang w:eastAsia="zh-CN"/>
        </w:rPr>
      </w:pPr>
      <w:r>
        <w:rPr>
          <w:rFonts w:hint="eastAsia"/>
          <w:lang w:eastAsia="zh-CN"/>
        </w:rPr>
        <w:t>(10)乙方保证在租赁场地所从事的经营事务不违反国家相关法律、法规，不得涉及与社区文明氛围有影响的事务等。</w:t>
      </w:r>
    </w:p>
    <w:p w14:paraId="5F58B3DE">
      <w:pPr>
        <w:pStyle w:val="19"/>
        <w:rPr>
          <w:rFonts w:hint="eastAsia"/>
          <w:lang w:eastAsia="zh-CN"/>
        </w:rPr>
      </w:pPr>
      <w:r>
        <w:rPr>
          <w:rFonts w:hint="eastAsia"/>
          <w:lang w:eastAsia="zh-CN"/>
        </w:rPr>
        <w:t>(11)乙方在租赁场地从事的事务如引起业主投诉，应立即无条件解决，如连续引起三起以上投诉则立即停止其在租赁场地从事的事务，如乙方未及时停止则甲方有权解除本合同。(12)乙方承诺乙方工作人员进出甲方所管辖小区/园区将严格遵守甲方管理制度。在进入小区/园区时需着工装并佩戴工牌，并主动表明身份及说明目的，不得影响业主正常生活。否则，甲方有权解除合同并要求乙方赔偿损失。</w:t>
      </w:r>
    </w:p>
    <w:p w14:paraId="57FC9DF7">
      <w:pPr>
        <w:pStyle w:val="19"/>
        <w:rPr>
          <w:rFonts w:hint="eastAsia"/>
          <w:lang w:eastAsia="zh-CN"/>
        </w:rPr>
      </w:pPr>
      <w:r>
        <w:rPr>
          <w:rFonts w:hint="eastAsia"/>
          <w:lang w:eastAsia="zh-CN"/>
        </w:rPr>
        <w:t>三、违约责任及合同终止、解除</w:t>
      </w:r>
    </w:p>
    <w:p w14:paraId="06E8FBC8">
      <w:pPr>
        <w:pStyle w:val="19"/>
        <w:rPr>
          <w:rFonts w:hint="eastAsia"/>
          <w:lang w:eastAsia="zh-CN"/>
        </w:rPr>
      </w:pPr>
      <w:r>
        <w:rPr>
          <w:rFonts w:hint="eastAsia"/>
          <w:lang w:val="en-US" w:eastAsia="zh-CN"/>
        </w:rPr>
        <w:t xml:space="preserve">1.  </w:t>
      </w:r>
      <w:r>
        <w:rPr>
          <w:rFonts w:hint="eastAsia"/>
          <w:lang w:eastAsia="zh-CN"/>
        </w:rPr>
        <w:t>租赁期内出现以下情况之一的本协议提前终止，甲乙双方互不承担违约责任：</w:t>
      </w:r>
    </w:p>
    <w:p w14:paraId="6C63FCED">
      <w:pPr>
        <w:pStyle w:val="19"/>
        <w:rPr>
          <w:rFonts w:hint="eastAsia"/>
          <w:lang w:eastAsia="zh-CN"/>
        </w:rPr>
      </w:pPr>
      <w:r>
        <w:rPr>
          <w:rFonts w:hint="eastAsia"/>
          <w:lang w:eastAsia="zh-CN"/>
        </w:rPr>
        <w:t>(1)因政府行为、场地拆迁、自然灾害、战争、罢工等不可抗力因素影响。</w:t>
      </w:r>
    </w:p>
    <w:p w14:paraId="1F0DBF3E">
      <w:pPr>
        <w:pStyle w:val="19"/>
        <w:rPr>
          <w:rFonts w:hint="eastAsia"/>
          <w:lang w:eastAsia="zh-CN"/>
        </w:rPr>
      </w:pPr>
      <w:r>
        <w:rPr>
          <w:rFonts w:hint="eastAsia"/>
          <w:lang w:eastAsia="zh-CN"/>
        </w:rPr>
        <w:t>(2)业主大会或业主委员会要求甲方终止合同的。</w:t>
      </w:r>
    </w:p>
    <w:p w14:paraId="2526E5D4">
      <w:pPr>
        <w:pStyle w:val="19"/>
        <w:rPr>
          <w:rFonts w:hint="eastAsia"/>
          <w:lang w:eastAsia="zh-CN"/>
        </w:rPr>
      </w:pPr>
      <w:r>
        <w:rPr>
          <w:rFonts w:hint="eastAsia"/>
          <w:lang w:eastAsia="zh-CN"/>
        </w:rPr>
        <w:t>(3)因小区物业管理需要必须使用该租赁区域从事物业管理活动的(须提前 10 个工作日告知乙方)。</w:t>
      </w:r>
    </w:p>
    <w:p w14:paraId="4C6E5EB6">
      <w:pPr>
        <w:pStyle w:val="19"/>
        <w:rPr>
          <w:rFonts w:hint="eastAsia"/>
          <w:lang w:eastAsia="zh-CN"/>
        </w:rPr>
      </w:pPr>
      <w:r>
        <w:rPr>
          <w:rFonts w:hint="eastAsia"/>
          <w:lang w:eastAsia="zh-CN"/>
        </w:rPr>
        <w:t>(4)辖区居委会或政府主管部门要求恢复该租赁区域原有用途的。</w:t>
      </w:r>
    </w:p>
    <w:p w14:paraId="20142125">
      <w:pPr>
        <w:pStyle w:val="19"/>
        <w:rPr>
          <w:rFonts w:hint="eastAsia"/>
          <w:lang w:eastAsia="zh-CN"/>
        </w:rPr>
      </w:pPr>
      <w:r>
        <w:rPr>
          <w:rFonts w:hint="eastAsia"/>
          <w:lang w:eastAsia="zh-CN"/>
        </w:rPr>
        <w:t>(5)该租赁区域因20户以上业主强烈反对导致合同无法继续履行，无法调整场地的。</w:t>
      </w:r>
    </w:p>
    <w:p w14:paraId="4282DFF8">
      <w:pPr>
        <w:pStyle w:val="19"/>
        <w:rPr>
          <w:rFonts w:hint="eastAsia"/>
          <w:lang w:eastAsia="zh-CN"/>
        </w:rPr>
      </w:pPr>
      <w:r>
        <w:rPr>
          <w:rFonts w:hint="eastAsia"/>
          <w:lang w:eastAsia="zh-CN"/>
        </w:rPr>
        <w:t>(6)租赁期未满，甲方丧失物业管理权或将物业管理权移交第三方的。</w:t>
      </w:r>
    </w:p>
    <w:p w14:paraId="21E1B464">
      <w:pPr>
        <w:pStyle w:val="19"/>
        <w:rPr>
          <w:rFonts w:hint="eastAsia"/>
          <w:lang w:eastAsia="zh-CN"/>
        </w:rPr>
      </w:pPr>
      <w:r>
        <w:rPr>
          <w:rFonts w:hint="eastAsia"/>
          <w:lang w:eastAsia="zh-CN"/>
        </w:rPr>
        <w:t>(7)出现业主投诉无法解决的。</w:t>
      </w:r>
    </w:p>
    <w:p w14:paraId="79045DD0">
      <w:pPr>
        <w:pStyle w:val="19"/>
        <w:rPr>
          <w:rFonts w:hint="eastAsia"/>
          <w:lang w:eastAsia="zh-CN"/>
        </w:rPr>
      </w:pPr>
      <w:r>
        <w:rPr>
          <w:rFonts w:hint="eastAsia"/>
          <w:lang w:val="en-US" w:eastAsia="zh-CN"/>
        </w:rPr>
        <w:t xml:space="preserve">2.  </w:t>
      </w:r>
      <w:r>
        <w:rPr>
          <w:rFonts w:hint="eastAsia"/>
          <w:lang w:eastAsia="zh-CN"/>
        </w:rPr>
        <w:t>合同有效期内,乙方发生违约情形的,每发生一次,应按照本合同总金额5%的标准向甲方支付违约金,给甲方造成其他损失的，甲方有权追偿。该等违约金或赔偿金甲方有权自保证金中直接扣除。如1个月内乙方未及时支付合同款，则甲方有权解除或终止此合同;基于以上情况导致合同终止的，乙方需于合同终止后 15 日内将租赁场地的物品移除，并将场地恢复原。否则，甲方可自行拆除，因此产生的费用从保证金中扣除。</w:t>
      </w:r>
    </w:p>
    <w:p w14:paraId="74573EB9">
      <w:pPr>
        <w:pStyle w:val="19"/>
        <w:rPr>
          <w:rFonts w:hint="eastAsia"/>
          <w:lang w:eastAsia="zh-CN"/>
        </w:rPr>
      </w:pPr>
      <w:r>
        <w:rPr>
          <w:rFonts w:hint="eastAsia"/>
          <w:lang w:val="en-US" w:eastAsia="zh-CN"/>
        </w:rPr>
        <w:t xml:space="preserve">3.  </w:t>
      </w:r>
      <w:r>
        <w:rPr>
          <w:rFonts w:hint="eastAsia"/>
          <w:lang w:eastAsia="zh-CN"/>
        </w:rPr>
        <w:t>乙方如发布广告的，应认真审核广告发布内容，若因乙方广告发布内容导致的任何第三方侵权事件,3.由乙方承担责任，甲方为此支出的，由乙方照价赔偿，给甲方造成严重商誉影响的，甲方有权立即解除本合同、不退还已收取费用并保留追究乙方法律责任的权利。</w:t>
      </w:r>
    </w:p>
    <w:p w14:paraId="1D2BFE4A">
      <w:pPr>
        <w:pStyle w:val="19"/>
        <w:rPr>
          <w:rFonts w:hint="eastAsia"/>
          <w:lang w:eastAsia="zh-CN"/>
        </w:rPr>
      </w:pPr>
      <w:r>
        <w:rPr>
          <w:rFonts w:hint="eastAsia"/>
          <w:lang w:val="en-US" w:eastAsia="zh-CN"/>
        </w:rPr>
        <w:t xml:space="preserve">4.  </w:t>
      </w:r>
      <w:r>
        <w:rPr>
          <w:rFonts w:hint="eastAsia"/>
          <w:lang w:eastAsia="zh-CN"/>
        </w:rPr>
        <w:t>非经甲方书面同意，乙方在使用过程出不得擅自变更使用目的，甲方有权对乙方使用目的进行监督:若擅自变更，甲方有权扣除乙方交纳的</w:t>
      </w:r>
      <w:r>
        <w:rPr>
          <w:rFonts w:hint="eastAsia"/>
          <w:lang w:val="en-US" w:eastAsia="zh-CN"/>
        </w:rPr>
        <w:t>履</w:t>
      </w:r>
      <w:r>
        <w:rPr>
          <w:rFonts w:hint="eastAsia"/>
          <w:lang w:eastAsia="zh-CN"/>
        </w:rPr>
        <w:t>约保证金并单方解除本协议。</w:t>
      </w:r>
    </w:p>
    <w:p w14:paraId="7B4ACA85">
      <w:pPr>
        <w:pStyle w:val="19"/>
        <w:rPr>
          <w:rFonts w:hint="eastAsia"/>
          <w:lang w:eastAsia="zh-CN"/>
        </w:rPr>
      </w:pPr>
      <w:r>
        <w:rPr>
          <w:rFonts w:hint="eastAsia"/>
          <w:lang w:val="en-US" w:eastAsia="zh-CN"/>
        </w:rPr>
        <w:t xml:space="preserve">5.  </w:t>
      </w:r>
      <w:r>
        <w:rPr>
          <w:rFonts w:hint="eastAsia"/>
          <w:lang w:eastAsia="zh-CN"/>
        </w:rPr>
        <w:t>非经甲方书面同意，乙方不得进行转租或转让。若擅自转让或转租，甲方有权扣除乙方交纳的</w:t>
      </w:r>
      <w:r>
        <w:rPr>
          <w:rFonts w:hint="eastAsia"/>
          <w:lang w:val="en-US" w:eastAsia="zh-CN"/>
        </w:rPr>
        <w:t>履约</w:t>
      </w:r>
      <w:r>
        <w:rPr>
          <w:rFonts w:hint="eastAsia"/>
          <w:lang w:eastAsia="zh-CN"/>
        </w:rPr>
        <w:t>保证金并单方解除本协议。</w:t>
      </w:r>
    </w:p>
    <w:p w14:paraId="1310EBFE">
      <w:pPr>
        <w:pStyle w:val="19"/>
        <w:rPr>
          <w:rFonts w:hint="eastAsia"/>
          <w:lang w:eastAsia="zh-CN"/>
        </w:rPr>
      </w:pPr>
      <w:r>
        <w:rPr>
          <w:rFonts w:hint="eastAsia"/>
          <w:lang w:val="en-US" w:eastAsia="zh-CN"/>
        </w:rPr>
        <w:t xml:space="preserve">6.  </w:t>
      </w:r>
      <w:r>
        <w:rPr>
          <w:rFonts w:hint="eastAsia"/>
          <w:lang w:eastAsia="zh-CN"/>
        </w:rPr>
        <w:t>在以下情况下甲方无需事先通知乙方，即可强制开启场地，并无需承担乙方任何</w:t>
      </w:r>
      <w:r>
        <w:rPr>
          <w:rFonts w:hint="eastAsia"/>
          <w:lang w:val="en-US" w:eastAsia="zh-CN"/>
        </w:rPr>
        <w:t>损</w:t>
      </w:r>
      <w:r>
        <w:rPr>
          <w:rFonts w:hint="eastAsia"/>
          <w:lang w:eastAsia="zh-CN"/>
        </w:rPr>
        <w:t>失：</w:t>
      </w:r>
    </w:p>
    <w:p w14:paraId="11CEC5E5">
      <w:pPr>
        <w:pStyle w:val="19"/>
        <w:rPr>
          <w:rFonts w:hint="eastAsia"/>
          <w:lang w:eastAsia="zh-CN"/>
        </w:rPr>
      </w:pPr>
      <w:r>
        <w:rPr>
          <w:rFonts w:hint="eastAsia"/>
          <w:lang w:eastAsia="zh-CN"/>
        </w:rPr>
        <w:t>(1)甲方有合理理由认为场地内存放有违法、违禁物品。</w:t>
      </w:r>
    </w:p>
    <w:p w14:paraId="5814EAAB">
      <w:pPr>
        <w:pStyle w:val="19"/>
        <w:rPr>
          <w:rFonts w:hint="eastAsia"/>
          <w:lang w:eastAsia="zh-CN"/>
        </w:rPr>
      </w:pPr>
      <w:r>
        <w:rPr>
          <w:rFonts w:hint="eastAsia"/>
          <w:lang w:eastAsia="zh-CN"/>
        </w:rPr>
        <w:t>(2)司法、警察、消防等国家或其他具有强制公权力、执行力的行政机关遵照国家法律，对乙方所存放的物品进行调查的需要，需要甲方配合时。</w:t>
      </w:r>
    </w:p>
    <w:p w14:paraId="31C56C51">
      <w:pPr>
        <w:pStyle w:val="19"/>
        <w:rPr>
          <w:rFonts w:hint="eastAsia"/>
          <w:lang w:eastAsia="zh-CN"/>
        </w:rPr>
      </w:pPr>
      <w:r>
        <w:rPr>
          <w:rFonts w:hint="eastAsia"/>
          <w:lang w:eastAsia="zh-CN"/>
        </w:rPr>
        <w:t>(3)其他物品可能污染、损坏乙方放置物品需要紧急进入场地。</w:t>
      </w:r>
    </w:p>
    <w:p w14:paraId="0E26B62B">
      <w:pPr>
        <w:pStyle w:val="19"/>
        <w:rPr>
          <w:rFonts w:hint="eastAsia"/>
          <w:lang w:eastAsia="zh-CN"/>
        </w:rPr>
      </w:pPr>
      <w:r>
        <w:rPr>
          <w:rFonts w:hint="eastAsia"/>
          <w:lang w:eastAsia="zh-CN"/>
        </w:rPr>
        <w:t>(4)甲方认为情况紧急，需要维持安全，或防止灾害扩大时。</w:t>
      </w:r>
    </w:p>
    <w:p w14:paraId="022ECD5F">
      <w:pPr>
        <w:pStyle w:val="19"/>
        <w:rPr>
          <w:rFonts w:hint="eastAsia"/>
          <w:lang w:eastAsia="zh-CN"/>
        </w:rPr>
      </w:pPr>
      <w:r>
        <w:rPr>
          <w:rFonts w:hint="eastAsia"/>
          <w:lang w:val="en-US" w:eastAsia="zh-CN"/>
        </w:rPr>
        <w:t xml:space="preserve">7.  </w:t>
      </w:r>
      <w:r>
        <w:rPr>
          <w:rFonts w:hint="eastAsia"/>
          <w:lang w:eastAsia="zh-CN"/>
        </w:rPr>
        <w:t>不论本合同因何种原因终止、解除或被依法宣告无效后，乙方都应在本合同终止、解除或被依法宣告无效后的 10 日内恢复现场原状。乙方逾期未恢复的，视为乙方放弃该场地物品所有权，为保持小区/园区整体环境美观，甲方有权自行或委托第三方处理该场地物品并恢复现场原状，因此产生的费用从保证金中扣除。</w:t>
      </w:r>
    </w:p>
    <w:p w14:paraId="2BB9C682">
      <w:pPr>
        <w:pStyle w:val="19"/>
        <w:rPr>
          <w:rFonts w:hint="eastAsia"/>
          <w:lang w:eastAsia="zh-CN"/>
        </w:rPr>
      </w:pPr>
      <w:r>
        <w:rPr>
          <w:rFonts w:hint="eastAsia"/>
          <w:lang w:eastAsia="zh-CN"/>
        </w:rPr>
        <w:t>四、履约保证金</w:t>
      </w:r>
    </w:p>
    <w:p w14:paraId="3032EEA5">
      <w:pPr>
        <w:pStyle w:val="19"/>
        <w:rPr>
          <w:rFonts w:hint="eastAsia"/>
          <w:lang w:eastAsia="zh-CN"/>
        </w:rPr>
      </w:pPr>
      <w:r>
        <w:rPr>
          <w:rFonts w:hint="eastAsia"/>
          <w:lang w:eastAsia="zh-CN"/>
        </w:rPr>
        <w:t>1.</w:t>
      </w:r>
      <w:r>
        <w:rPr>
          <w:rFonts w:hint="eastAsia"/>
          <w:lang w:val="en-US" w:eastAsia="zh-CN"/>
        </w:rPr>
        <w:t xml:space="preserve">  </w:t>
      </w:r>
      <w:r>
        <w:rPr>
          <w:rFonts w:hint="eastAsia"/>
          <w:lang w:eastAsia="zh-CN"/>
        </w:rPr>
        <w:t>乙方进驻甲方项目，应向甲方支付履约保证金，乙方应当按照专用条款的约定向甲方支付。</w:t>
      </w:r>
    </w:p>
    <w:p w14:paraId="203AEA58">
      <w:pPr>
        <w:pStyle w:val="19"/>
        <w:rPr>
          <w:rFonts w:hint="eastAsia"/>
          <w:lang w:eastAsia="zh-CN"/>
        </w:rPr>
      </w:pPr>
      <w:r>
        <w:rPr>
          <w:rFonts w:hint="eastAsia"/>
          <w:lang w:val="en-US" w:eastAsia="zh-CN"/>
        </w:rPr>
        <w:t xml:space="preserve">2.  </w:t>
      </w:r>
      <w:r>
        <w:rPr>
          <w:rFonts w:hint="eastAsia"/>
          <w:lang w:eastAsia="zh-CN"/>
        </w:rPr>
        <w:t>因乙方原因导致履约保证金被扣除的部分(约保证金的扣除条件，详见本协议相关内容)，乙方须于5个工作日内补齐，否则甲方有权暂停双方合作，暂停时间不予补时(即本协议截止时间不顺延)。超过 10 个工作日仍未能补齐的，甲方有权终止本协议，并向乙方索赔损失。</w:t>
      </w:r>
    </w:p>
    <w:p w14:paraId="1E049F03">
      <w:pPr>
        <w:pStyle w:val="19"/>
        <w:rPr>
          <w:rFonts w:hint="eastAsia"/>
          <w:lang w:val="en-US" w:eastAsia="zh-CN"/>
        </w:rPr>
      </w:pPr>
      <w:r>
        <w:rPr>
          <w:rFonts w:hint="eastAsia"/>
          <w:lang w:val="en-US" w:eastAsia="zh-CN"/>
        </w:rPr>
        <w:t>3.  履约保证金的退还:本协议期限届满，且乙方为本协议约定范围内的最后一单合同项下服务完毕并经验收合格后的1个月内，甲方将本协议约定应扣除部分之外的余额退还乙方。约保证金不计利息，被扣除部分不开发票。</w:t>
      </w:r>
    </w:p>
    <w:p w14:paraId="4C3C0055">
      <w:pPr>
        <w:pStyle w:val="19"/>
        <w:rPr>
          <w:rFonts w:hint="eastAsia"/>
          <w:lang w:val="en-US" w:eastAsia="zh-CN"/>
        </w:rPr>
      </w:pPr>
      <w:r>
        <w:rPr>
          <w:rFonts w:hint="eastAsia"/>
          <w:lang w:val="en-US" w:eastAsia="zh-CN"/>
        </w:rPr>
        <w:t>五、通知和送达</w:t>
      </w:r>
    </w:p>
    <w:p w14:paraId="2D1BA040">
      <w:pPr>
        <w:pStyle w:val="19"/>
        <w:rPr>
          <w:rFonts w:hint="eastAsia"/>
          <w:lang w:val="en-US" w:eastAsia="zh-CN"/>
        </w:rPr>
      </w:pPr>
      <w:r>
        <w:rPr>
          <w:rFonts w:hint="eastAsia"/>
          <w:lang w:val="en-US" w:eastAsia="zh-CN"/>
        </w:rPr>
        <w:t>1.  重要通知和文件资料等如须以书面形式送达的，应采用快递或直接送达的方式。如以快递的方式的，在投邮后(以寄出的邮戳为准)第三日将被视为已送达另一方;如以直接送达的方式送达，则于另方签收时视为已送达。在对方接到一方发出的变更其地址的通知之前，该方地址仍以先前地址为准。</w:t>
      </w:r>
    </w:p>
    <w:p w14:paraId="430AC390">
      <w:pPr>
        <w:pStyle w:val="19"/>
        <w:rPr>
          <w:rFonts w:hint="eastAsia"/>
          <w:lang w:val="en-US" w:eastAsia="zh-CN"/>
        </w:rPr>
      </w:pPr>
      <w:r>
        <w:rPr>
          <w:rFonts w:hint="eastAsia"/>
          <w:lang w:val="en-US" w:eastAsia="zh-CN"/>
        </w:rPr>
        <w:t>2.  双方均可根据专用条款的约定书面通知另一方，变更其接收通知的联系人及方式。若一方未按照本条的约定履行通知义务而导致的损失，由该方自行承担。</w:t>
      </w:r>
    </w:p>
    <w:p w14:paraId="5BAF8BFB">
      <w:pPr>
        <w:pStyle w:val="19"/>
        <w:rPr>
          <w:rFonts w:hint="eastAsia"/>
          <w:lang w:val="en-US" w:eastAsia="zh-CN"/>
        </w:rPr>
      </w:pPr>
      <w:r>
        <w:rPr>
          <w:rFonts w:hint="eastAsia"/>
          <w:lang w:val="en-US" w:eastAsia="zh-CN"/>
        </w:rPr>
        <w:t>六、其他约定</w:t>
      </w:r>
    </w:p>
    <w:p w14:paraId="6FCAA551">
      <w:pPr>
        <w:pStyle w:val="19"/>
        <w:rPr>
          <w:rFonts w:hint="eastAsia"/>
          <w:lang w:val="en-US" w:eastAsia="zh-CN"/>
        </w:rPr>
      </w:pPr>
      <w:r>
        <w:rPr>
          <w:rFonts w:hint="eastAsia"/>
          <w:lang w:val="en-US" w:eastAsia="zh-CN"/>
        </w:rPr>
        <w:t>1.  由于地震、台风、水灾、火灾等自然灾害、战争以及其他不能预见并且对其发生和后果不能防止或避1.免的不可抗力事故，致使本合同的履行受到直接影响或者不能按约定的条件履行时，遇有上述不可抗力事故的一方，应立即将事故情况“书面”通知另一方。因不可抗力不能履行本合同的，根据不可抗力的影响，部分或者全部免除责任。双方应在不可抗力事故发生后7个工作日内就后续事宜或合同的解除进行协商。本条款所定义的不可抗力是指不能预见、不能避免并不能克服的客观情况，对于经营状况严重恶化、安排不周及税收政策的调整等情形，无论严重程度如何，均不理解为不可抗力。</w:t>
      </w:r>
    </w:p>
    <w:p w14:paraId="1B9CFC46">
      <w:pPr>
        <w:pStyle w:val="19"/>
        <w:rPr>
          <w:rFonts w:hint="default"/>
          <w:lang w:val="en-US" w:eastAsia="zh-CN"/>
        </w:rPr>
      </w:pPr>
      <w:r>
        <w:rPr>
          <w:rFonts w:hint="eastAsia"/>
          <w:lang w:val="en-US" w:eastAsia="zh-CN"/>
        </w:rPr>
        <w:t xml:space="preserve">2.  </w:t>
      </w:r>
      <w:r>
        <w:rPr>
          <w:rFonts w:hint="default"/>
          <w:lang w:val="en-US" w:eastAsia="zh-CN"/>
        </w:rPr>
        <w:t>任何一方在本合同履行过程中得到或知悉的任何商业秘密及未对外公开之任何资料与信息，除非事先获得对方书面同意，不得直接或间接向任何第三方披露或用于非本合同范围。该等保密义务不因本合同无效、提前解除或终止而受到影响。如果本协议的任何条款被有权机关宣布为无效、可撤销、违法或不可强制执行，本协议的其它条款仍然有效。</w:t>
      </w:r>
    </w:p>
    <w:p w14:paraId="55066C7A">
      <w:pPr>
        <w:pStyle w:val="19"/>
        <w:rPr>
          <w:rFonts w:hint="default"/>
          <w:lang w:val="en-US" w:eastAsia="zh-CN"/>
        </w:rPr>
      </w:pPr>
      <w:r>
        <w:rPr>
          <w:rFonts w:hint="eastAsia"/>
          <w:lang w:val="en-US" w:eastAsia="zh-CN"/>
        </w:rPr>
        <w:t xml:space="preserve">3.  </w:t>
      </w:r>
      <w:r>
        <w:rPr>
          <w:rFonts w:hint="default"/>
          <w:lang w:val="en-US" w:eastAsia="zh-CN"/>
        </w:rPr>
        <w:t>本协议在下述任何情形发生时终止:</w:t>
      </w:r>
    </w:p>
    <w:p w14:paraId="6C3E9DB8">
      <w:pPr>
        <w:pStyle w:val="19"/>
        <w:rPr>
          <w:rFonts w:hint="default"/>
          <w:lang w:val="en-US" w:eastAsia="zh-CN"/>
        </w:rPr>
      </w:pPr>
      <w:r>
        <w:rPr>
          <w:rFonts w:hint="default"/>
          <w:lang w:val="en-US" w:eastAsia="zh-CN"/>
        </w:rPr>
        <w:t>(1)一方出现破产、法律制裁等，导致无法继续</w:t>
      </w:r>
      <w:r>
        <w:rPr>
          <w:rFonts w:hint="eastAsia"/>
          <w:lang w:val="en-US" w:eastAsia="zh-CN"/>
        </w:rPr>
        <w:t>履约</w:t>
      </w:r>
      <w:r>
        <w:rPr>
          <w:rFonts w:hint="default"/>
          <w:lang w:val="en-US" w:eastAsia="zh-CN"/>
        </w:rPr>
        <w:t>的，但此种情况不能免除责任方责任。</w:t>
      </w:r>
    </w:p>
    <w:p w14:paraId="2F9C1215">
      <w:pPr>
        <w:pStyle w:val="19"/>
        <w:rPr>
          <w:rFonts w:hint="default"/>
          <w:lang w:val="en-US" w:eastAsia="zh-CN"/>
        </w:rPr>
      </w:pPr>
      <w:r>
        <w:rPr>
          <w:rFonts w:hint="default"/>
          <w:lang w:val="en-US" w:eastAsia="zh-CN"/>
        </w:rPr>
        <w:t>(2)政府法律法规限制导致无法履约的。</w:t>
      </w:r>
    </w:p>
    <w:p w14:paraId="2F671FA3">
      <w:pPr>
        <w:pStyle w:val="19"/>
        <w:rPr>
          <w:rFonts w:hint="default"/>
          <w:lang w:val="en-US" w:eastAsia="zh-CN"/>
        </w:rPr>
      </w:pPr>
      <w:r>
        <w:rPr>
          <w:rFonts w:hint="eastAsia"/>
          <w:lang w:val="en-US" w:eastAsia="zh-CN"/>
        </w:rPr>
        <w:t xml:space="preserve">4.  </w:t>
      </w:r>
      <w:r>
        <w:rPr>
          <w:rFonts w:hint="default"/>
          <w:lang w:val="en-US" w:eastAsia="zh-CN"/>
        </w:rPr>
        <w:t>任何与本协议有关的通知应以书面形式送达至本协议首页所列联系地址。各种通讯方式以下列方式确定送达时间:(1)面呈的通知在交付时视为送达:(2)以电子邮件、传真方式送达的通知在相关系统发出时视为送达:(3)以快递或挂号信方式送达的通知应在投寄或寄出后的第五日视为送达，特快专递在被通知人签收时视为送达。若任何一方变更本协议首页所列联系信息的，须以书面方式提前十四日通知对方。</w:t>
      </w:r>
    </w:p>
    <w:p w14:paraId="23613742">
      <w:pPr>
        <w:pStyle w:val="19"/>
        <w:rPr>
          <w:rFonts w:hint="default"/>
          <w:lang w:val="en-US" w:eastAsia="zh-CN"/>
        </w:rPr>
      </w:pPr>
      <w:r>
        <w:rPr>
          <w:rFonts w:hint="default"/>
          <w:lang w:val="en-US" w:eastAsia="zh-CN"/>
        </w:rPr>
        <w:t>5</w:t>
      </w:r>
      <w:r>
        <w:rPr>
          <w:rFonts w:hint="eastAsia"/>
          <w:lang w:val="en-US" w:eastAsia="zh-CN"/>
        </w:rPr>
        <w:t xml:space="preserve">.  </w:t>
      </w:r>
      <w:r>
        <w:rPr>
          <w:rFonts w:hint="default"/>
          <w:lang w:val="en-US" w:eastAsia="zh-CN"/>
        </w:rPr>
        <w:t>协议附件</w:t>
      </w:r>
    </w:p>
    <w:p w14:paraId="029F0FC8">
      <w:pPr>
        <w:pStyle w:val="19"/>
        <w:rPr>
          <w:rFonts w:hint="default"/>
          <w:lang w:val="en-US" w:eastAsia="zh-CN"/>
        </w:rPr>
      </w:pPr>
      <w:r>
        <w:rPr>
          <w:rFonts w:hint="default"/>
          <w:lang w:val="en-US" w:eastAsia="zh-CN"/>
        </w:rPr>
        <w:t>附件一</w:t>
      </w:r>
      <w:r>
        <w:rPr>
          <w:rFonts w:hint="eastAsia"/>
          <w:lang w:val="en-US" w:eastAsia="zh-CN"/>
        </w:rPr>
        <w:t>：</w:t>
      </w:r>
      <w:r>
        <w:rPr>
          <w:rFonts w:hint="default"/>
          <w:lang w:val="en-US" w:eastAsia="zh-CN"/>
        </w:rPr>
        <w:t>《场地位置示意图》</w:t>
      </w:r>
    </w:p>
    <w:p w14:paraId="2AD12B0D">
      <w:pPr>
        <w:pStyle w:val="19"/>
        <w:rPr>
          <w:rFonts w:hint="default"/>
          <w:lang w:val="en-US" w:eastAsia="zh-CN"/>
        </w:rPr>
      </w:pPr>
      <w:r>
        <w:rPr>
          <w:rFonts w:hint="default"/>
          <w:lang w:val="en-US" w:eastAsia="zh-CN"/>
        </w:rPr>
        <w:t>附件二</w:t>
      </w:r>
      <w:r>
        <w:rPr>
          <w:rFonts w:hint="eastAsia"/>
          <w:lang w:val="en-US" w:eastAsia="zh-CN"/>
        </w:rPr>
        <w:t>：</w:t>
      </w:r>
      <w:r>
        <w:rPr>
          <w:rFonts w:hint="default"/>
          <w:lang w:val="en-US" w:eastAsia="zh-CN"/>
        </w:rPr>
        <w:t>《设备图样》</w:t>
      </w:r>
    </w:p>
    <w:p w14:paraId="007A135F">
      <w:pPr>
        <w:pStyle w:val="19"/>
        <w:rPr>
          <w:rFonts w:hint="default"/>
          <w:lang w:val="en-US" w:eastAsia="zh-CN"/>
        </w:rPr>
      </w:pPr>
      <w:r>
        <w:rPr>
          <w:rFonts w:hint="default"/>
          <w:lang w:val="en-US" w:eastAsia="zh-CN"/>
        </w:rPr>
        <w:t>附件三</w:t>
      </w:r>
      <w:r>
        <w:rPr>
          <w:rFonts w:hint="eastAsia"/>
          <w:lang w:val="en-US" w:eastAsia="zh-CN"/>
        </w:rPr>
        <w:t>：</w:t>
      </w:r>
      <w:r>
        <w:rPr>
          <w:rFonts w:hint="default"/>
          <w:lang w:val="en-US" w:eastAsia="zh-CN"/>
        </w:rPr>
        <w:t>甲、乙双方账户、税务信息</w:t>
      </w:r>
    </w:p>
    <w:p w14:paraId="733B756F">
      <w:pPr>
        <w:pStyle w:val="19"/>
        <w:numPr>
          <w:ilvl w:val="0"/>
          <w:numId w:val="7"/>
        </w:numPr>
        <w:bidi w:val="0"/>
        <w:rPr>
          <w:rFonts w:hint="eastAsia"/>
          <w:lang w:val="en-US" w:eastAsia="zh-CN"/>
        </w:rPr>
      </w:pPr>
      <w:r>
        <w:rPr>
          <w:rFonts w:hint="eastAsia"/>
          <w:lang w:val="en-US" w:eastAsia="zh-CN"/>
        </w:rPr>
        <w:t xml:space="preserve"> 如双方就本协议内容或其执行发生任何争议，双方首先应进行友好协商;若经协商无法解决该争议，则任何一方可向甲方住所地的人民法院提起诉讼。</w:t>
      </w:r>
    </w:p>
    <w:p w14:paraId="2AB50344">
      <w:pPr>
        <w:pStyle w:val="19"/>
        <w:numPr>
          <w:ilvl w:val="0"/>
          <w:numId w:val="7"/>
        </w:numPr>
        <w:bidi w:val="0"/>
        <w:ind w:left="0" w:leftChars="0" w:firstLine="0" w:firstLineChars="0"/>
        <w:rPr>
          <w:rFonts w:hint="default"/>
          <w:lang w:val="en-US" w:eastAsia="zh-CN"/>
        </w:rPr>
      </w:pPr>
      <w:r>
        <w:rPr>
          <w:rFonts w:hint="eastAsia"/>
          <w:lang w:val="en-US" w:eastAsia="zh-CN"/>
        </w:rPr>
        <w:t xml:space="preserve"> 本合同一式4份，甲方执2份，乙方执2份，自甲乙双方加盖公章之日起生效(如一方为自然人的，应由其亲自签署)，每份具有同等法律效力。</w:t>
      </w:r>
    </w:p>
    <w:p w14:paraId="5BE0F2EF">
      <w:pPr>
        <w:pStyle w:val="19"/>
        <w:numPr>
          <w:ilvl w:val="0"/>
          <w:numId w:val="0"/>
        </w:numPr>
        <w:bidi w:val="0"/>
        <w:ind w:leftChars="0"/>
        <w:jc w:val="center"/>
        <w:rPr>
          <w:rFonts w:hint="default"/>
          <w:lang w:val="en-US" w:eastAsia="zh-CN"/>
        </w:rPr>
      </w:pPr>
      <w:r>
        <w:rPr>
          <w:rFonts w:hint="default"/>
          <w:lang w:val="en-US" w:eastAsia="zh-CN"/>
        </w:rPr>
        <w:t>第二部分 专用条款</w:t>
      </w:r>
    </w:p>
    <w:p w14:paraId="0E7FDECD">
      <w:pPr>
        <w:pStyle w:val="19"/>
        <w:numPr>
          <w:ilvl w:val="0"/>
          <w:numId w:val="0"/>
        </w:numPr>
        <w:bidi w:val="0"/>
        <w:ind w:leftChars="0"/>
        <w:rPr>
          <w:rFonts w:hint="default"/>
          <w:lang w:val="en-US" w:eastAsia="zh-CN"/>
        </w:rPr>
      </w:pPr>
      <w:r>
        <w:rPr>
          <w:rFonts w:hint="default"/>
          <w:lang w:val="en-US" w:eastAsia="zh-CN"/>
        </w:rPr>
        <w:t>一、合作基本情况</w:t>
      </w:r>
    </w:p>
    <w:p w14:paraId="7A2FF6DF">
      <w:pPr>
        <w:pStyle w:val="19"/>
        <w:numPr>
          <w:ilvl w:val="0"/>
          <w:numId w:val="0"/>
        </w:numPr>
        <w:bidi w:val="0"/>
        <w:ind w:leftChars="0"/>
        <w:rPr>
          <w:rFonts w:hint="default"/>
          <w:lang w:val="en-US" w:eastAsia="zh-CN"/>
        </w:rPr>
      </w:pPr>
      <w:r>
        <w:rPr>
          <w:rFonts w:hint="default"/>
          <w:lang w:val="en-US" w:eastAsia="zh-CN"/>
        </w:rPr>
        <w:t>1.</w:t>
      </w:r>
      <w:r>
        <w:rPr>
          <w:rFonts w:hint="eastAsia"/>
          <w:lang w:val="en-US" w:eastAsia="zh-CN"/>
        </w:rPr>
        <w:t xml:space="preserve">  </w:t>
      </w:r>
      <w:r>
        <w:rPr>
          <w:rFonts w:hint="default"/>
          <w:lang w:val="en-US" w:eastAsia="zh-CN"/>
        </w:rPr>
        <w:t>租赁场地地址</w:t>
      </w:r>
      <w:r>
        <w:rPr>
          <w:rFonts w:hint="eastAsia"/>
          <w:lang w:val="en-US" w:eastAsia="zh-CN"/>
        </w:rPr>
        <w:t>：/</w:t>
      </w:r>
      <w:r>
        <w:rPr>
          <w:rFonts w:hint="default"/>
          <w:lang w:val="en-US" w:eastAsia="zh-CN"/>
        </w:rPr>
        <w:t>。(详见附件一《场地位置示意图》)</w:t>
      </w:r>
    </w:p>
    <w:p w14:paraId="6758324E">
      <w:pPr>
        <w:pStyle w:val="19"/>
        <w:numPr>
          <w:ilvl w:val="0"/>
          <w:numId w:val="0"/>
        </w:numPr>
        <w:bidi w:val="0"/>
        <w:ind w:leftChars="0"/>
        <w:rPr>
          <w:rFonts w:hint="default"/>
          <w:lang w:val="en-US" w:eastAsia="zh-CN"/>
        </w:rPr>
      </w:pPr>
      <w:r>
        <w:rPr>
          <w:rFonts w:hint="eastAsia"/>
          <w:lang w:val="en-US" w:eastAsia="zh-CN"/>
        </w:rPr>
        <w:t xml:space="preserve">2.  </w:t>
      </w:r>
      <w:r>
        <w:rPr>
          <w:rFonts w:hint="default"/>
          <w:lang w:val="en-US" w:eastAsia="zh-CN"/>
        </w:rPr>
        <w:t>场地面积为</w:t>
      </w:r>
      <w:r>
        <w:rPr>
          <w:rFonts w:hint="eastAsia"/>
          <w:lang w:val="en-US" w:eastAsia="zh-CN"/>
        </w:rPr>
        <w:t>：/</w:t>
      </w:r>
      <w:r>
        <w:rPr>
          <w:rFonts w:hint="default"/>
          <w:lang w:val="en-US" w:eastAsia="zh-CN"/>
        </w:rPr>
        <w:t>平方米。乙方承租用途为放置广告。</w:t>
      </w:r>
    </w:p>
    <w:p w14:paraId="1A9E5C14">
      <w:pPr>
        <w:pStyle w:val="19"/>
        <w:numPr>
          <w:ilvl w:val="0"/>
          <w:numId w:val="0"/>
        </w:numPr>
        <w:bidi w:val="0"/>
        <w:ind w:leftChars="0"/>
        <w:rPr>
          <w:rFonts w:hint="default"/>
          <w:lang w:val="en-US" w:eastAsia="zh-CN"/>
        </w:rPr>
      </w:pPr>
      <w:r>
        <w:rPr>
          <w:rFonts w:hint="default"/>
          <w:lang w:val="en-US" w:eastAsia="zh-CN"/>
        </w:rPr>
        <w:t>3.</w:t>
      </w:r>
      <w:r>
        <w:rPr>
          <w:rFonts w:hint="eastAsia"/>
          <w:lang w:val="en-US" w:eastAsia="zh-CN"/>
        </w:rPr>
        <w:t xml:space="preserve">  </w:t>
      </w:r>
      <w:r>
        <w:rPr>
          <w:rFonts w:hint="default"/>
          <w:lang w:val="en-US" w:eastAsia="zh-CN"/>
        </w:rPr>
        <w:t>安装设备及规格</w:t>
      </w:r>
      <w:r>
        <w:rPr>
          <w:rFonts w:hint="eastAsia"/>
          <w:lang w:val="en-US" w:eastAsia="zh-CN"/>
        </w:rPr>
        <w:t>：/</w:t>
      </w:r>
      <w:r>
        <w:rPr>
          <w:rFonts w:hint="default"/>
          <w:lang w:val="en-US" w:eastAsia="zh-CN"/>
        </w:rPr>
        <w:t>，规格长</w:t>
      </w:r>
      <w:r>
        <w:rPr>
          <w:rFonts w:hint="eastAsia"/>
          <w:lang w:val="en-US" w:eastAsia="zh-CN"/>
        </w:rPr>
        <w:t>/</w:t>
      </w:r>
      <w:r>
        <w:rPr>
          <w:rFonts w:hint="default"/>
          <w:lang w:val="en-US" w:eastAsia="zh-CN"/>
        </w:rPr>
        <w:t xml:space="preserve">cm，宽 </w:t>
      </w:r>
      <w:r>
        <w:rPr>
          <w:rFonts w:hint="eastAsia"/>
          <w:lang w:val="en-US" w:eastAsia="zh-CN"/>
        </w:rPr>
        <w:t>/</w:t>
      </w:r>
      <w:r>
        <w:rPr>
          <w:rFonts w:hint="default"/>
          <w:lang w:val="en-US" w:eastAsia="zh-CN"/>
        </w:rPr>
        <w:t xml:space="preserve">cm，高/。数量 </w:t>
      </w:r>
      <w:r>
        <w:rPr>
          <w:rFonts w:hint="eastAsia"/>
          <w:lang w:val="en-US" w:eastAsia="zh-CN"/>
        </w:rPr>
        <w:t>/</w:t>
      </w:r>
      <w:r>
        <w:rPr>
          <w:rFonts w:hint="default"/>
          <w:lang w:val="en-US" w:eastAsia="zh-CN"/>
        </w:rPr>
        <w:t>。(详见附件二:《设备图样》)</w:t>
      </w:r>
    </w:p>
    <w:p w14:paraId="0BF00E66">
      <w:pPr>
        <w:pStyle w:val="19"/>
        <w:numPr>
          <w:ilvl w:val="0"/>
          <w:numId w:val="0"/>
        </w:numPr>
        <w:bidi w:val="0"/>
        <w:ind w:leftChars="0"/>
        <w:rPr>
          <w:rFonts w:hint="default"/>
          <w:lang w:val="en-US" w:eastAsia="zh-CN"/>
        </w:rPr>
      </w:pPr>
      <w:r>
        <w:rPr>
          <w:rFonts w:hint="eastAsia"/>
          <w:lang w:val="en-US" w:eastAsia="zh-CN"/>
        </w:rPr>
        <w:t xml:space="preserve">4.  </w:t>
      </w:r>
      <w:r>
        <w:rPr>
          <w:rFonts w:hint="default"/>
          <w:lang w:val="en-US" w:eastAsia="zh-CN"/>
        </w:rPr>
        <w:t>服务内容</w:t>
      </w:r>
      <w:r>
        <w:rPr>
          <w:rFonts w:hint="eastAsia"/>
          <w:lang w:val="en-US" w:eastAsia="zh-CN"/>
        </w:rPr>
        <w:t>：/</w:t>
      </w:r>
    </w:p>
    <w:p w14:paraId="04E1BB7F">
      <w:pPr>
        <w:pStyle w:val="19"/>
        <w:numPr>
          <w:ilvl w:val="0"/>
          <w:numId w:val="0"/>
        </w:numPr>
        <w:bidi w:val="0"/>
        <w:ind w:leftChars="0"/>
        <w:rPr>
          <w:rFonts w:hint="default"/>
          <w:lang w:val="en-US" w:eastAsia="zh-CN"/>
        </w:rPr>
      </w:pPr>
      <w:r>
        <w:rPr>
          <w:rFonts w:hint="eastAsia"/>
          <w:lang w:val="en-US" w:eastAsia="zh-CN"/>
        </w:rPr>
        <w:t xml:space="preserve">5.  </w:t>
      </w:r>
      <w:r>
        <w:rPr>
          <w:rFonts w:hint="default"/>
          <w:lang w:val="en-US" w:eastAsia="zh-CN"/>
        </w:rPr>
        <w:t>服务标准</w:t>
      </w:r>
      <w:r>
        <w:rPr>
          <w:rFonts w:hint="eastAsia"/>
          <w:lang w:val="en-US" w:eastAsia="zh-CN"/>
        </w:rPr>
        <w:t>：/</w:t>
      </w:r>
    </w:p>
    <w:p w14:paraId="24C1A693">
      <w:pPr>
        <w:pStyle w:val="19"/>
        <w:numPr>
          <w:ilvl w:val="0"/>
          <w:numId w:val="0"/>
        </w:numPr>
        <w:bidi w:val="0"/>
        <w:ind w:leftChars="0"/>
        <w:rPr>
          <w:rFonts w:hint="default"/>
          <w:lang w:val="en-US" w:eastAsia="zh-CN"/>
        </w:rPr>
      </w:pPr>
      <w:r>
        <w:rPr>
          <w:rFonts w:hint="default"/>
          <w:lang w:val="en-US" w:eastAsia="zh-CN"/>
        </w:rPr>
        <w:t>二、合作期限</w:t>
      </w:r>
    </w:p>
    <w:p w14:paraId="7AAD864E">
      <w:pPr>
        <w:pStyle w:val="19"/>
        <w:numPr>
          <w:ilvl w:val="0"/>
          <w:numId w:val="0"/>
        </w:numPr>
        <w:bidi w:val="0"/>
        <w:ind w:leftChars="0"/>
        <w:rPr>
          <w:rFonts w:hint="default"/>
          <w:lang w:val="en-US" w:eastAsia="zh-CN"/>
        </w:rPr>
      </w:pPr>
      <w:r>
        <w:rPr>
          <w:rFonts w:hint="eastAsia"/>
          <w:lang w:val="en-US" w:eastAsia="zh-CN"/>
        </w:rPr>
        <w:t xml:space="preserve">1.  </w:t>
      </w:r>
      <w:r>
        <w:rPr>
          <w:rFonts w:hint="default"/>
          <w:lang w:val="en-US" w:eastAsia="zh-CN"/>
        </w:rPr>
        <w:t>该场地合作期限自 202</w:t>
      </w:r>
      <w:r>
        <w:rPr>
          <w:rFonts w:hint="eastAsia"/>
          <w:lang w:val="en-US" w:eastAsia="zh-CN"/>
        </w:rPr>
        <w:t>4</w:t>
      </w:r>
      <w:r>
        <w:rPr>
          <w:rFonts w:hint="default"/>
          <w:lang w:val="en-US" w:eastAsia="zh-CN"/>
        </w:rPr>
        <w:t>-</w:t>
      </w:r>
      <w:r>
        <w:rPr>
          <w:rFonts w:hint="eastAsia"/>
          <w:lang w:val="en-US" w:eastAsia="zh-CN"/>
        </w:rPr>
        <w:t>XX</w:t>
      </w:r>
      <w:r>
        <w:rPr>
          <w:rFonts w:hint="default"/>
          <w:lang w:val="en-US" w:eastAsia="zh-CN"/>
        </w:rPr>
        <w:t>-</w:t>
      </w:r>
      <w:r>
        <w:rPr>
          <w:rFonts w:hint="eastAsia"/>
          <w:lang w:val="en-US" w:eastAsia="zh-CN"/>
        </w:rPr>
        <w:t>XX</w:t>
      </w:r>
      <w:r>
        <w:rPr>
          <w:rFonts w:hint="default"/>
          <w:lang w:val="en-US" w:eastAsia="zh-CN"/>
        </w:rPr>
        <w:t>起至 202</w:t>
      </w:r>
      <w:r>
        <w:rPr>
          <w:rFonts w:hint="eastAsia"/>
          <w:lang w:val="en-US" w:eastAsia="zh-CN"/>
        </w:rPr>
        <w:t>5</w:t>
      </w:r>
      <w:r>
        <w:rPr>
          <w:rFonts w:hint="default"/>
          <w:lang w:val="en-US" w:eastAsia="zh-CN"/>
        </w:rPr>
        <w:t>-</w:t>
      </w:r>
      <w:r>
        <w:rPr>
          <w:rFonts w:hint="eastAsia"/>
          <w:lang w:val="en-US" w:eastAsia="zh-CN"/>
        </w:rPr>
        <w:t>XX</w:t>
      </w:r>
      <w:r>
        <w:rPr>
          <w:rFonts w:hint="default"/>
          <w:lang w:val="en-US" w:eastAsia="zh-CN"/>
        </w:rPr>
        <w:t>-</w:t>
      </w:r>
      <w:r>
        <w:rPr>
          <w:rFonts w:hint="eastAsia"/>
          <w:lang w:val="en-US" w:eastAsia="zh-CN"/>
        </w:rPr>
        <w:t>XX</w:t>
      </w:r>
      <w:r>
        <w:rPr>
          <w:rFonts w:hint="default"/>
          <w:lang w:val="en-US" w:eastAsia="zh-CN"/>
        </w:rPr>
        <w:t>止。有效期届满前 30 日，双方协商续约事宜。</w:t>
      </w:r>
    </w:p>
    <w:p w14:paraId="52152934">
      <w:pPr>
        <w:pStyle w:val="19"/>
        <w:numPr>
          <w:ilvl w:val="0"/>
          <w:numId w:val="0"/>
        </w:numPr>
        <w:bidi w:val="0"/>
        <w:ind w:leftChars="0"/>
        <w:rPr>
          <w:rFonts w:hint="default"/>
          <w:lang w:val="en-US" w:eastAsia="zh-CN"/>
        </w:rPr>
      </w:pPr>
      <w:r>
        <w:rPr>
          <w:rFonts w:hint="default"/>
          <w:lang w:val="en-US" w:eastAsia="zh-CN"/>
        </w:rPr>
        <w:t>三、收费标准</w:t>
      </w:r>
    </w:p>
    <w:p w14:paraId="7D8EFF11">
      <w:pPr>
        <w:pStyle w:val="19"/>
        <w:numPr>
          <w:ilvl w:val="0"/>
          <w:numId w:val="0"/>
        </w:numPr>
        <w:bidi w:val="0"/>
        <w:ind w:leftChars="0"/>
        <w:rPr>
          <w:rFonts w:hint="default"/>
          <w:lang w:val="en-US" w:eastAsia="zh-CN"/>
        </w:rPr>
      </w:pPr>
      <w:r>
        <w:rPr>
          <w:rFonts w:hint="eastAsia"/>
          <w:lang w:val="en-US" w:eastAsia="zh-CN"/>
        </w:rPr>
        <w:t xml:space="preserve">1.  </w:t>
      </w:r>
      <w:r>
        <w:rPr>
          <w:rFonts w:hint="default"/>
          <w:lang w:val="en-US" w:eastAsia="zh-CN"/>
        </w:rPr>
        <w:t xml:space="preserve">合同总额:合同总额共计人民币 </w:t>
      </w:r>
      <w:r>
        <w:rPr>
          <w:rFonts w:hint="eastAsia"/>
          <w:lang w:val="en-US" w:eastAsia="zh-CN"/>
        </w:rPr>
        <w:t>XXXXX</w:t>
      </w:r>
      <w:r>
        <w:rPr>
          <w:rFonts w:hint="default"/>
          <w:lang w:val="en-US" w:eastAsia="zh-CN"/>
        </w:rPr>
        <w:t>.00 元</w:t>
      </w:r>
      <w:r>
        <w:rPr>
          <w:rFonts w:hint="eastAsia"/>
          <w:lang w:val="en-US" w:eastAsia="zh-CN"/>
        </w:rPr>
        <w:t>。</w:t>
      </w:r>
    </w:p>
    <w:p w14:paraId="01F54138">
      <w:pPr>
        <w:pStyle w:val="19"/>
        <w:numPr>
          <w:ilvl w:val="0"/>
          <w:numId w:val="8"/>
        </w:numPr>
        <w:bidi w:val="0"/>
        <w:ind w:leftChars="0"/>
        <w:rPr>
          <w:rFonts w:hint="eastAsia"/>
          <w:lang w:val="en-US" w:eastAsia="zh-CN"/>
        </w:rPr>
      </w:pPr>
      <w:r>
        <w:rPr>
          <w:rFonts w:hint="default"/>
          <w:lang w:val="en-US" w:eastAsia="zh-CN"/>
        </w:rPr>
        <w:t>履约保证金:人民币0.00元</w:t>
      </w:r>
      <w:r>
        <w:rPr>
          <w:rFonts w:hint="eastAsia"/>
          <w:lang w:val="en-US" w:eastAsia="zh-CN"/>
        </w:rPr>
        <w:t>。</w:t>
      </w:r>
    </w:p>
    <w:p w14:paraId="3EF5BD0B">
      <w:pPr>
        <w:pStyle w:val="19"/>
        <w:numPr>
          <w:ilvl w:val="0"/>
          <w:numId w:val="0"/>
        </w:numPr>
        <w:bidi w:val="0"/>
        <w:rPr>
          <w:rFonts w:hint="eastAsia"/>
          <w:lang w:val="en-US" w:eastAsia="zh-CN"/>
        </w:rPr>
      </w:pPr>
      <w:r>
        <w:rPr>
          <w:rFonts w:hint="eastAsia"/>
          <w:lang w:val="en-US" w:eastAsia="zh-CN"/>
        </w:rPr>
        <w:t>四、付款方式</w:t>
      </w:r>
    </w:p>
    <w:p w14:paraId="1BB42919">
      <w:pPr>
        <w:pStyle w:val="19"/>
        <w:numPr>
          <w:ilvl w:val="0"/>
          <w:numId w:val="0"/>
        </w:numPr>
        <w:bidi w:val="0"/>
        <w:rPr>
          <w:rFonts w:hint="eastAsia"/>
          <w:lang w:val="en-US" w:eastAsia="zh-CN"/>
        </w:rPr>
      </w:pPr>
      <w:r>
        <w:rPr>
          <w:rFonts w:hint="eastAsia"/>
          <w:lang w:val="en-US" w:eastAsia="zh-CN"/>
        </w:rPr>
        <w:t>1.  本协议生效后7个工作日内，乙方即付给甲方履约保证金。约保证金待本合同期满后，如乙方在租赁期间没有违约情况，且乙方与甲方完结所有手续后无点退还。场地租金、水电气费用及服务费按如下第</w:t>
      </w:r>
      <w:r>
        <w:rPr>
          <w:rFonts w:hint="eastAsia"/>
          <w:i w:val="0"/>
          <w:iCs w:val="0"/>
          <w:u w:val="single"/>
          <w:lang w:val="en-US" w:eastAsia="zh-CN"/>
        </w:rPr>
        <w:t>（3）</w:t>
      </w:r>
      <w:r>
        <w:rPr>
          <w:rFonts w:hint="eastAsia"/>
          <w:lang w:val="en-US" w:eastAsia="zh-CN"/>
        </w:rPr>
        <w:t>种方式结算：</w:t>
      </w:r>
    </w:p>
    <w:p w14:paraId="7B056EFA">
      <w:pPr>
        <w:pStyle w:val="19"/>
        <w:numPr>
          <w:ilvl w:val="0"/>
          <w:numId w:val="0"/>
        </w:numPr>
        <w:bidi w:val="0"/>
        <w:rPr>
          <w:rFonts w:hint="eastAsia"/>
          <w:lang w:val="en-US" w:eastAsia="zh-CN"/>
        </w:rPr>
      </w:pPr>
      <w:r>
        <w:rPr>
          <w:rFonts w:hint="eastAsia"/>
          <w:lang w:val="en-US" w:eastAsia="zh-CN"/>
        </w:rPr>
        <w:t>(1)乙方应于本合同签署后/日内一次性支付全部款项。</w:t>
      </w:r>
    </w:p>
    <w:p w14:paraId="01C5A352">
      <w:pPr>
        <w:pStyle w:val="19"/>
        <w:numPr>
          <w:ilvl w:val="0"/>
          <w:numId w:val="0"/>
        </w:numPr>
        <w:bidi w:val="0"/>
        <w:rPr>
          <w:rFonts w:hint="eastAsia"/>
          <w:lang w:val="en-US" w:eastAsia="zh-CN"/>
        </w:rPr>
      </w:pPr>
      <w:r>
        <w:rPr>
          <w:rFonts w:hint="eastAsia"/>
          <w:lang w:val="en-US" w:eastAsia="zh-CN"/>
        </w:rPr>
        <w:t>(2)按/(月/双月/季度/半年度/年度)结算，付费原则为先付后用，乙方应于每个付款周期开始后首月 15 日前付清本周期费用。</w:t>
      </w:r>
    </w:p>
    <w:p w14:paraId="21574A2C">
      <w:pPr>
        <w:pStyle w:val="19"/>
        <w:numPr>
          <w:ilvl w:val="0"/>
          <w:numId w:val="0"/>
        </w:numPr>
        <w:bidi w:val="0"/>
        <w:rPr>
          <w:rFonts w:hint="eastAsia"/>
          <w:lang w:val="en-US" w:eastAsia="zh-CN"/>
        </w:rPr>
      </w:pPr>
      <w:r>
        <w:rPr>
          <w:rFonts w:hint="eastAsia"/>
          <w:lang w:val="en-US" w:eastAsia="zh-CN"/>
        </w:rPr>
        <w:t>(3)其他付款约定：乙方在合同签订后一次性支付甲方全部费用。</w:t>
      </w:r>
    </w:p>
    <w:p w14:paraId="3FFB2D61">
      <w:pPr>
        <w:pStyle w:val="19"/>
        <w:numPr>
          <w:ilvl w:val="0"/>
          <w:numId w:val="0"/>
        </w:numPr>
        <w:bidi w:val="0"/>
        <w:rPr>
          <w:rFonts w:hint="default"/>
          <w:lang w:val="en-US" w:eastAsia="zh-CN"/>
        </w:rPr>
      </w:pPr>
      <w:r>
        <w:rPr>
          <w:rFonts w:hint="default"/>
          <w:lang w:val="en-US" w:eastAsia="zh-CN"/>
        </w:rPr>
        <w:t>【以下无正文】</w:t>
      </w:r>
    </w:p>
    <w:p w14:paraId="043908C9">
      <w:pPr>
        <w:pStyle w:val="19"/>
        <w:numPr>
          <w:ilvl w:val="0"/>
          <w:numId w:val="0"/>
        </w:numPr>
        <w:bidi w:val="0"/>
        <w:rPr>
          <w:rFonts w:hint="default"/>
          <w:lang w:val="en-US" w:eastAsia="zh-CN"/>
        </w:rPr>
      </w:pPr>
      <w:r>
        <w:rPr>
          <w:rFonts w:hint="default"/>
          <w:lang w:val="en-US" w:eastAsia="zh-CN"/>
        </w:rPr>
        <w:t>以上内容均为双方真实意思表示，且双方已对各项条款进行认真阅读并理解。</w:t>
      </w:r>
    </w:p>
    <w:p w14:paraId="6D1761EA">
      <w:pPr>
        <w:pStyle w:val="19"/>
        <w:numPr>
          <w:ilvl w:val="0"/>
          <w:numId w:val="0"/>
        </w:numPr>
        <w:bidi w:val="0"/>
        <w:rPr>
          <w:rFonts w:hint="default"/>
          <w:lang w:val="en-US" w:eastAsia="zh-CN"/>
        </w:rPr>
      </w:pPr>
    </w:p>
    <w:p w14:paraId="4B261D68">
      <w:pPr>
        <w:pStyle w:val="19"/>
        <w:numPr>
          <w:ilvl w:val="0"/>
          <w:numId w:val="0"/>
        </w:numPr>
        <w:bidi w:val="0"/>
        <w:rPr>
          <w:rFonts w:hint="eastAsia"/>
          <w:lang w:val="en-US" w:eastAsia="zh-CN"/>
        </w:rPr>
        <w:sectPr>
          <w:footerReference r:id="rId5" w:type="default"/>
          <w:pgSz w:w="12240" w:h="15840"/>
          <w:pgMar w:top="1440" w:right="1800" w:bottom="1440" w:left="1800" w:header="720" w:footer="720" w:gutter="0"/>
          <w:cols w:space="425" w:num="1"/>
          <w:docGrid w:linePitch="360" w:charSpace="0"/>
        </w:sectPr>
      </w:pPr>
    </w:p>
    <w:p w14:paraId="01AC4E01">
      <w:pPr>
        <w:pStyle w:val="19"/>
        <w:numPr>
          <w:ilvl w:val="0"/>
          <w:numId w:val="0"/>
        </w:numPr>
        <w:bidi w:val="0"/>
        <w:rPr>
          <w:rFonts w:hint="eastAsia"/>
          <w:lang w:val="en-US" w:eastAsia="zh-CN"/>
        </w:rPr>
      </w:pPr>
      <w:r>
        <w:rPr>
          <w:rFonts w:hint="eastAsia"/>
          <w:lang w:val="en-US" w:eastAsia="zh-CN"/>
        </w:rPr>
        <w:t>甲方：</w:t>
      </w:r>
    </w:p>
    <w:p w14:paraId="4CB19607">
      <w:pPr>
        <w:pStyle w:val="19"/>
        <w:numPr>
          <w:ilvl w:val="0"/>
          <w:numId w:val="0"/>
        </w:numPr>
        <w:bidi w:val="0"/>
        <w:rPr>
          <w:rFonts w:hint="default"/>
          <w:u w:val="single"/>
          <w:lang w:val="en-US" w:eastAsia="zh-CN"/>
        </w:rPr>
      </w:pPr>
      <w:r>
        <w:rPr>
          <w:rFonts w:hint="eastAsia"/>
          <w:u w:val="single"/>
          <w:lang w:val="en-US" w:eastAsia="zh-CN"/>
        </w:rPr>
        <w:t xml:space="preserve">阜阳市乐居资产供应链有限公司   </w:t>
      </w:r>
    </w:p>
    <w:p w14:paraId="4608153D">
      <w:pPr>
        <w:pStyle w:val="19"/>
        <w:numPr>
          <w:ilvl w:val="0"/>
          <w:numId w:val="0"/>
        </w:numPr>
        <w:bidi w:val="0"/>
        <w:rPr>
          <w:rFonts w:hint="default"/>
          <w:lang w:val="en-US" w:eastAsia="zh-CN"/>
        </w:rPr>
      </w:pPr>
    </w:p>
    <w:p w14:paraId="5FB0381D">
      <w:pPr>
        <w:pStyle w:val="19"/>
        <w:numPr>
          <w:ilvl w:val="0"/>
          <w:numId w:val="0"/>
        </w:numPr>
        <w:bidi w:val="0"/>
        <w:rPr>
          <w:rFonts w:hint="eastAsia"/>
          <w:lang w:val="en-US" w:eastAsia="zh-CN"/>
        </w:rPr>
      </w:pPr>
      <w:r>
        <w:rPr>
          <w:rFonts w:hint="eastAsia"/>
          <w:lang w:val="en-US" w:eastAsia="zh-CN"/>
        </w:rPr>
        <w:t>（甲方盖章处）</w:t>
      </w:r>
    </w:p>
    <w:p w14:paraId="07FCBF8D">
      <w:pPr>
        <w:pStyle w:val="19"/>
        <w:numPr>
          <w:ilvl w:val="0"/>
          <w:numId w:val="0"/>
        </w:numPr>
        <w:bidi w:val="0"/>
        <w:rPr>
          <w:rFonts w:hint="eastAsia"/>
          <w:lang w:val="en-US" w:eastAsia="zh-CN"/>
        </w:rPr>
      </w:pPr>
    </w:p>
    <w:p w14:paraId="52240C92">
      <w:pPr>
        <w:pStyle w:val="19"/>
        <w:numPr>
          <w:ilvl w:val="0"/>
          <w:numId w:val="0"/>
        </w:numPr>
        <w:bidi w:val="0"/>
        <w:rPr>
          <w:rFonts w:hint="eastAsia"/>
          <w:u w:val="single"/>
          <w:lang w:val="en-US" w:eastAsia="zh-CN"/>
        </w:rPr>
      </w:pPr>
      <w:r>
        <w:rPr>
          <w:rFonts w:hint="eastAsia"/>
          <w:lang w:val="en-US" w:eastAsia="zh-CN"/>
        </w:rPr>
        <w:t>签署日期：</w:t>
      </w:r>
      <w:r>
        <w:rPr>
          <w:rFonts w:hint="eastAsia"/>
          <w:u w:val="single"/>
          <w:lang w:val="en-US" w:eastAsia="zh-CN"/>
        </w:rPr>
        <w:t xml:space="preserve">            年          月         日</w:t>
      </w:r>
    </w:p>
    <w:p w14:paraId="16E5F854">
      <w:pPr>
        <w:pStyle w:val="19"/>
        <w:numPr>
          <w:ilvl w:val="0"/>
          <w:numId w:val="0"/>
        </w:numPr>
        <w:bidi w:val="0"/>
        <w:rPr>
          <w:rFonts w:hint="eastAsia"/>
          <w:u w:val="single"/>
          <w:lang w:val="en-US" w:eastAsia="zh-CN"/>
        </w:rPr>
      </w:pPr>
    </w:p>
    <w:p w14:paraId="140141D8">
      <w:pPr>
        <w:pStyle w:val="19"/>
        <w:numPr>
          <w:ilvl w:val="0"/>
          <w:numId w:val="0"/>
        </w:numPr>
        <w:bidi w:val="0"/>
        <w:rPr>
          <w:rFonts w:hint="eastAsia"/>
          <w:lang w:val="en-US" w:eastAsia="zh-CN"/>
        </w:rPr>
      </w:pPr>
      <w:r>
        <w:rPr>
          <w:rFonts w:hint="eastAsia"/>
          <w:lang w:val="en-US" w:eastAsia="zh-CN"/>
        </w:rPr>
        <w:t>乙方：</w:t>
      </w:r>
    </w:p>
    <w:p w14:paraId="35834BC2">
      <w:pPr>
        <w:pStyle w:val="19"/>
        <w:numPr>
          <w:ilvl w:val="0"/>
          <w:numId w:val="0"/>
        </w:numPr>
        <w:bidi w:val="0"/>
        <w:rPr>
          <w:rFonts w:hint="default"/>
          <w:u w:val="single"/>
          <w:lang w:val="en-US" w:eastAsia="zh-CN"/>
        </w:rPr>
      </w:pPr>
      <w:r>
        <w:rPr>
          <w:rFonts w:hint="eastAsia"/>
          <w:u w:val="single"/>
          <w:lang w:val="en-US" w:eastAsia="zh-CN"/>
        </w:rPr>
        <w:t xml:space="preserve">   </w:t>
      </w:r>
    </w:p>
    <w:p w14:paraId="7F48BDA0">
      <w:pPr>
        <w:pStyle w:val="19"/>
        <w:numPr>
          <w:ilvl w:val="0"/>
          <w:numId w:val="0"/>
        </w:numPr>
        <w:bidi w:val="0"/>
        <w:rPr>
          <w:rFonts w:hint="default"/>
          <w:lang w:val="en-US" w:eastAsia="zh-CN"/>
        </w:rPr>
      </w:pPr>
    </w:p>
    <w:p w14:paraId="4EDFF47D">
      <w:pPr>
        <w:pStyle w:val="19"/>
        <w:numPr>
          <w:ilvl w:val="0"/>
          <w:numId w:val="0"/>
        </w:numPr>
        <w:bidi w:val="0"/>
        <w:rPr>
          <w:rFonts w:hint="eastAsia"/>
          <w:lang w:val="en-US" w:eastAsia="zh-CN"/>
        </w:rPr>
      </w:pPr>
      <w:r>
        <w:rPr>
          <w:rFonts w:hint="eastAsia"/>
          <w:lang w:val="en-US" w:eastAsia="zh-CN"/>
        </w:rPr>
        <w:t>（乙方盖章处）</w:t>
      </w:r>
    </w:p>
    <w:p w14:paraId="584C5069">
      <w:pPr>
        <w:pStyle w:val="19"/>
        <w:numPr>
          <w:ilvl w:val="0"/>
          <w:numId w:val="0"/>
        </w:numPr>
        <w:bidi w:val="0"/>
        <w:rPr>
          <w:rFonts w:hint="eastAsia"/>
          <w:lang w:val="en-US" w:eastAsia="zh-CN"/>
        </w:rPr>
      </w:pPr>
    </w:p>
    <w:p w14:paraId="497D30E0">
      <w:pPr>
        <w:pStyle w:val="19"/>
        <w:numPr>
          <w:ilvl w:val="0"/>
          <w:numId w:val="0"/>
        </w:numPr>
        <w:bidi w:val="0"/>
        <w:rPr>
          <w:rFonts w:hint="default"/>
          <w:u w:val="single"/>
          <w:lang w:val="en-US" w:eastAsia="zh-CN"/>
        </w:rPr>
        <w:sectPr>
          <w:type w:val="continuous"/>
          <w:pgSz w:w="12240" w:h="15840"/>
          <w:pgMar w:top="1440" w:right="1800" w:bottom="1440" w:left="1800" w:header="720" w:footer="720" w:gutter="0"/>
          <w:cols w:equalWidth="0" w:num="2">
            <w:col w:w="4107" w:space="425"/>
            <w:col w:w="4107"/>
          </w:cols>
          <w:docGrid w:linePitch="360" w:charSpace="0"/>
        </w:sectPr>
      </w:pPr>
      <w:r>
        <w:rPr>
          <w:rFonts w:hint="eastAsia"/>
          <w:lang w:val="en-US" w:eastAsia="zh-CN"/>
        </w:rPr>
        <w:t>签署日期：</w:t>
      </w:r>
      <w:r>
        <w:rPr>
          <w:rFonts w:hint="eastAsia"/>
          <w:u w:val="single"/>
          <w:lang w:val="en-US" w:eastAsia="zh-CN"/>
        </w:rPr>
        <w:t xml:space="preserve">            年          月         日</w:t>
      </w:r>
    </w:p>
    <w:p w14:paraId="3DE3598C">
      <w:pPr>
        <w:pStyle w:val="19"/>
        <w:numPr>
          <w:ilvl w:val="0"/>
          <w:numId w:val="0"/>
        </w:numPr>
        <w:bidi w:val="0"/>
        <w:rPr>
          <w:rFonts w:hint="default"/>
          <w:u w:val="single"/>
          <w:lang w:val="en-US" w:eastAsia="zh-CN"/>
        </w:rPr>
        <w:sectPr>
          <w:type w:val="continuous"/>
          <w:pgSz w:w="12240" w:h="15840"/>
          <w:pgMar w:top="1440" w:right="1800" w:bottom="1440" w:left="1800" w:header="720" w:footer="720" w:gutter="0"/>
          <w:cols w:space="425" w:num="1"/>
          <w:docGrid w:linePitch="360" w:charSpace="0"/>
        </w:sectPr>
      </w:pPr>
    </w:p>
    <w:p w14:paraId="681716B9">
      <w:pPr>
        <w:pStyle w:val="19"/>
        <w:numPr>
          <w:ilvl w:val="0"/>
          <w:numId w:val="0"/>
        </w:numPr>
        <w:bidi w:val="0"/>
        <w:rPr>
          <w:rFonts w:hint="default"/>
          <w:lang w:val="en-US" w:eastAsia="zh-CN"/>
        </w:rPr>
      </w:pPr>
    </w:p>
    <w:p w14:paraId="1EA634DF">
      <w:pPr>
        <w:pStyle w:val="19"/>
        <w:numPr>
          <w:ilvl w:val="0"/>
          <w:numId w:val="0"/>
        </w:numPr>
        <w:bidi w:val="0"/>
        <w:rPr>
          <w:rFonts w:hint="default"/>
          <w:lang w:val="en-US" w:eastAsia="zh-CN"/>
        </w:rPr>
      </w:pPr>
    </w:p>
    <w:p w14:paraId="563EB1D7">
      <w:pPr>
        <w:pStyle w:val="19"/>
        <w:numPr>
          <w:ilvl w:val="0"/>
          <w:numId w:val="0"/>
        </w:numPr>
        <w:bidi w:val="0"/>
        <w:rPr>
          <w:rFonts w:hint="default"/>
          <w:lang w:val="en-US" w:eastAsia="zh-CN"/>
        </w:rPr>
      </w:pPr>
    </w:p>
    <w:p w14:paraId="37645338">
      <w:pPr>
        <w:pStyle w:val="19"/>
        <w:numPr>
          <w:ilvl w:val="0"/>
          <w:numId w:val="0"/>
        </w:numPr>
        <w:bidi w:val="0"/>
        <w:rPr>
          <w:rFonts w:hint="default"/>
          <w:lang w:val="en-US" w:eastAsia="zh-CN"/>
        </w:rPr>
      </w:pPr>
    </w:p>
    <w:p w14:paraId="2DA951E1">
      <w:pPr>
        <w:pStyle w:val="19"/>
        <w:numPr>
          <w:ilvl w:val="0"/>
          <w:numId w:val="0"/>
        </w:numPr>
        <w:bidi w:val="0"/>
        <w:rPr>
          <w:rFonts w:hint="default"/>
          <w:lang w:val="en-US" w:eastAsia="zh-CN"/>
        </w:rPr>
      </w:pPr>
    </w:p>
    <w:p w14:paraId="483E19C6">
      <w:pPr>
        <w:pStyle w:val="19"/>
        <w:numPr>
          <w:ilvl w:val="0"/>
          <w:numId w:val="0"/>
        </w:numPr>
        <w:bidi w:val="0"/>
        <w:rPr>
          <w:rFonts w:hint="default"/>
          <w:lang w:val="en-US" w:eastAsia="zh-CN"/>
        </w:rPr>
      </w:pPr>
    </w:p>
    <w:p w14:paraId="63868F4D">
      <w:pPr>
        <w:pStyle w:val="19"/>
        <w:numPr>
          <w:ilvl w:val="0"/>
          <w:numId w:val="0"/>
        </w:numPr>
        <w:bidi w:val="0"/>
        <w:rPr>
          <w:rFonts w:hint="default"/>
          <w:lang w:val="en-US" w:eastAsia="zh-CN"/>
        </w:rPr>
      </w:pPr>
    </w:p>
    <w:p w14:paraId="61DDA813">
      <w:pPr>
        <w:pStyle w:val="19"/>
        <w:numPr>
          <w:ilvl w:val="0"/>
          <w:numId w:val="0"/>
        </w:numPr>
        <w:bidi w:val="0"/>
        <w:rPr>
          <w:rFonts w:hint="default"/>
          <w:lang w:val="en-US" w:eastAsia="zh-CN"/>
        </w:rPr>
      </w:pPr>
    </w:p>
    <w:p w14:paraId="10FED730">
      <w:pPr>
        <w:pStyle w:val="19"/>
        <w:numPr>
          <w:ilvl w:val="0"/>
          <w:numId w:val="0"/>
        </w:numPr>
        <w:bidi w:val="0"/>
        <w:rPr>
          <w:rFonts w:hint="default"/>
          <w:lang w:val="en-US" w:eastAsia="zh-CN"/>
        </w:rPr>
      </w:pPr>
    </w:p>
    <w:p w14:paraId="22B94671">
      <w:pPr>
        <w:pStyle w:val="19"/>
        <w:numPr>
          <w:ilvl w:val="0"/>
          <w:numId w:val="0"/>
        </w:numPr>
        <w:bidi w:val="0"/>
        <w:rPr>
          <w:rFonts w:hint="default"/>
          <w:lang w:val="en-US" w:eastAsia="zh-CN"/>
        </w:rPr>
      </w:pPr>
    </w:p>
    <w:p w14:paraId="555D06D2">
      <w:pPr>
        <w:pStyle w:val="19"/>
        <w:numPr>
          <w:ilvl w:val="0"/>
          <w:numId w:val="0"/>
        </w:numPr>
        <w:bidi w:val="0"/>
        <w:rPr>
          <w:rFonts w:hint="default"/>
          <w:lang w:val="en-US" w:eastAsia="zh-CN"/>
        </w:rPr>
      </w:pPr>
    </w:p>
    <w:p w14:paraId="6627ABD4">
      <w:pPr>
        <w:pStyle w:val="19"/>
        <w:numPr>
          <w:ilvl w:val="0"/>
          <w:numId w:val="0"/>
        </w:numPr>
        <w:bidi w:val="0"/>
        <w:rPr>
          <w:rFonts w:hint="default"/>
          <w:lang w:val="en-US" w:eastAsia="zh-CN"/>
        </w:rPr>
      </w:pPr>
    </w:p>
    <w:p w14:paraId="56B864A4">
      <w:pPr>
        <w:pStyle w:val="19"/>
        <w:numPr>
          <w:ilvl w:val="0"/>
          <w:numId w:val="0"/>
        </w:numPr>
        <w:bidi w:val="0"/>
        <w:rPr>
          <w:rFonts w:hint="default"/>
          <w:lang w:val="en-US" w:eastAsia="zh-CN"/>
        </w:rPr>
      </w:pPr>
    </w:p>
    <w:p w14:paraId="53E3B62B">
      <w:pPr>
        <w:pStyle w:val="19"/>
        <w:numPr>
          <w:ilvl w:val="0"/>
          <w:numId w:val="0"/>
        </w:numPr>
        <w:bidi w:val="0"/>
        <w:rPr>
          <w:rFonts w:hint="default"/>
          <w:lang w:val="en-US" w:eastAsia="zh-CN"/>
        </w:rPr>
      </w:pPr>
    </w:p>
    <w:p w14:paraId="35F3FD5A">
      <w:pPr>
        <w:pStyle w:val="19"/>
        <w:rPr>
          <w:rFonts w:hint="default"/>
          <w:lang w:val="en-US" w:eastAsia="zh-CN"/>
        </w:rPr>
      </w:pPr>
      <w:r>
        <w:rPr>
          <w:rFonts w:hint="default"/>
          <w:lang w:val="en-US" w:eastAsia="zh-CN"/>
        </w:rPr>
        <w:t>附件一</w:t>
      </w:r>
      <w:r>
        <w:rPr>
          <w:rFonts w:hint="eastAsia"/>
          <w:lang w:val="en-US" w:eastAsia="zh-CN"/>
        </w:rPr>
        <w:t>：</w:t>
      </w:r>
      <w:r>
        <w:rPr>
          <w:rFonts w:hint="default"/>
          <w:lang w:val="en-US" w:eastAsia="zh-CN"/>
        </w:rPr>
        <w:t>《场地位置示意图》</w:t>
      </w:r>
    </w:p>
    <w:tbl>
      <w:tblPr>
        <w:tblStyle w:val="33"/>
        <w:tblW w:w="841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62"/>
        <w:gridCol w:w="3898"/>
        <w:gridCol w:w="751"/>
        <w:gridCol w:w="751"/>
        <w:gridCol w:w="750"/>
      </w:tblGrid>
      <w:tr w14:paraId="3D5E9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841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8AA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报价表</w:t>
            </w:r>
          </w:p>
        </w:tc>
      </w:tr>
      <w:tr w14:paraId="0F1E8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339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名称（点位）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820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323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BFD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915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总价</w:t>
            </w:r>
          </w:p>
        </w:tc>
      </w:tr>
      <w:tr w14:paraId="42BD4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927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电梯内框架广告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0CD6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电梯内(50CM*80CM)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6CE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8AB1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58037">
            <w:pPr>
              <w:jc w:val="center"/>
              <w:rPr>
                <w:rFonts w:hint="eastAsia" w:ascii="宋体" w:hAnsi="宋体" w:eastAsia="宋体" w:cs="宋体"/>
                <w:i w:val="0"/>
                <w:iCs w:val="0"/>
                <w:color w:val="000000"/>
                <w:sz w:val="22"/>
                <w:szCs w:val="22"/>
                <w:u w:val="none"/>
              </w:rPr>
            </w:pPr>
          </w:p>
        </w:tc>
      </w:tr>
      <w:tr w14:paraId="75B02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F6E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电梯外墙框架广告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6CCE8">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电梯外墙(40CM*60CM)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9BF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1822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2311D">
            <w:pPr>
              <w:jc w:val="center"/>
              <w:rPr>
                <w:rFonts w:hint="eastAsia" w:ascii="宋体" w:hAnsi="宋体" w:eastAsia="宋体" w:cs="宋体"/>
                <w:i w:val="0"/>
                <w:iCs w:val="0"/>
                <w:color w:val="000000"/>
                <w:sz w:val="22"/>
                <w:szCs w:val="22"/>
                <w:u w:val="none"/>
              </w:rPr>
            </w:pPr>
          </w:p>
        </w:tc>
      </w:tr>
      <w:tr w14:paraId="4DCF0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376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户外桁架广告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7DF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楼栋单元门口空置草地（2M*3M）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4EDA0">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F236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13D1C">
            <w:pPr>
              <w:jc w:val="center"/>
              <w:rPr>
                <w:rFonts w:hint="eastAsia" w:ascii="宋体" w:hAnsi="宋体" w:eastAsia="宋体" w:cs="宋体"/>
                <w:i w:val="0"/>
                <w:iCs w:val="0"/>
                <w:color w:val="000000"/>
                <w:sz w:val="22"/>
                <w:szCs w:val="22"/>
                <w:u w:val="none"/>
              </w:rPr>
            </w:pPr>
          </w:p>
        </w:tc>
      </w:tr>
      <w:tr w14:paraId="28EF2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A14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F517C">
            <w:pPr>
              <w:jc w:val="center"/>
              <w:rPr>
                <w:rFonts w:hint="eastAsia" w:ascii="宋体" w:hAnsi="宋体" w:eastAsia="宋体" w:cs="宋体"/>
                <w:i w:val="0"/>
                <w:iCs w:val="0"/>
                <w:color w:val="000000"/>
                <w:sz w:val="22"/>
                <w:szCs w:val="22"/>
                <w:u w:val="none"/>
              </w:rPr>
            </w:pPr>
          </w:p>
        </w:tc>
      </w:tr>
    </w:tbl>
    <w:p w14:paraId="744345BA">
      <w:pPr>
        <w:pStyle w:val="19"/>
        <w:rPr>
          <w:rFonts w:hint="default"/>
          <w:lang w:val="en-US" w:eastAsia="zh-CN"/>
        </w:rPr>
      </w:pPr>
    </w:p>
    <w:p w14:paraId="78F579FF">
      <w:pPr>
        <w:pStyle w:val="19"/>
        <w:rPr>
          <w:rFonts w:hint="default"/>
          <w:lang w:val="en-US" w:eastAsia="zh-CN"/>
        </w:rPr>
      </w:pPr>
      <w:r>
        <w:rPr>
          <w:rFonts w:hint="default"/>
          <w:lang w:val="en-US" w:eastAsia="zh-CN"/>
        </w:rPr>
        <w:t>附件二</w:t>
      </w:r>
      <w:r>
        <w:rPr>
          <w:rFonts w:hint="eastAsia"/>
          <w:lang w:val="en-US" w:eastAsia="zh-CN"/>
        </w:rPr>
        <w:t>：</w:t>
      </w:r>
      <w:r>
        <w:rPr>
          <w:rFonts w:hint="default"/>
          <w:lang w:val="en-US" w:eastAsia="zh-CN"/>
        </w:rPr>
        <w:t>《设备图样》</w:t>
      </w:r>
    </w:p>
    <w:p w14:paraId="6D710672">
      <w:pPr>
        <w:pStyle w:val="19"/>
        <w:rPr>
          <w:rFonts w:hint="default"/>
          <w:lang w:val="en-US" w:eastAsia="zh-CN"/>
        </w:rPr>
      </w:pPr>
    </w:p>
    <w:p w14:paraId="5801E1B9">
      <w:pPr>
        <w:pStyle w:val="19"/>
        <w:rPr>
          <w:rFonts w:hint="default"/>
          <w:lang w:val="en-US" w:eastAsia="zh-CN"/>
        </w:rPr>
      </w:pPr>
      <w:r>
        <w:rPr>
          <w:rFonts w:hint="default"/>
          <w:lang w:val="en-US" w:eastAsia="zh-CN"/>
        </w:rPr>
        <w:t>附件三</w:t>
      </w:r>
      <w:r>
        <w:rPr>
          <w:rFonts w:hint="eastAsia"/>
          <w:lang w:val="en-US" w:eastAsia="zh-CN"/>
        </w:rPr>
        <w:t>：</w:t>
      </w:r>
      <w:r>
        <w:rPr>
          <w:rFonts w:hint="default"/>
          <w:lang w:val="en-US" w:eastAsia="zh-CN"/>
        </w:rPr>
        <w:t>甲、乙双方账户、税务信息</w:t>
      </w:r>
    </w:p>
    <w:p w14:paraId="0D25163B">
      <w:pPr>
        <w:pStyle w:val="19"/>
        <w:rPr>
          <w:rFonts w:hint="default"/>
          <w:lang w:val="en-US" w:eastAsia="zh-CN"/>
        </w:rPr>
      </w:pPr>
      <w:r>
        <w:rPr>
          <w:rFonts w:hint="eastAsia"/>
          <w:lang w:val="en-US" w:eastAsia="zh-CN"/>
        </w:rPr>
        <w:t>甲</w:t>
      </w:r>
      <w:r>
        <w:rPr>
          <w:rFonts w:hint="default"/>
          <w:lang w:val="en-US" w:eastAsia="zh-CN"/>
        </w:rPr>
        <w:t xml:space="preserve">方银行账户信息： </w:t>
      </w:r>
    </w:p>
    <w:p w14:paraId="6CAB1C93">
      <w:pPr>
        <w:pStyle w:val="19"/>
        <w:rPr>
          <w:rFonts w:hint="default"/>
          <w:lang w:val="en-US" w:eastAsia="zh-CN"/>
        </w:rPr>
      </w:pPr>
      <w:r>
        <w:rPr>
          <w:rFonts w:hint="default"/>
          <w:lang w:val="en-US" w:eastAsia="zh-CN"/>
        </w:rPr>
        <w:t>公司名称：阜阳市乐居供应链有限公司</w:t>
      </w:r>
    </w:p>
    <w:p w14:paraId="71AAD1F3">
      <w:pPr>
        <w:pStyle w:val="19"/>
        <w:rPr>
          <w:rFonts w:hint="default"/>
          <w:lang w:val="en-US" w:eastAsia="zh-CN"/>
        </w:rPr>
      </w:pPr>
      <w:r>
        <w:rPr>
          <w:rFonts w:hint="default"/>
          <w:lang w:val="en-US" w:eastAsia="zh-CN"/>
        </w:rPr>
        <w:t>税号：91341282MA2WTY238Q</w:t>
      </w:r>
    </w:p>
    <w:p w14:paraId="4848CF15">
      <w:pPr>
        <w:pStyle w:val="19"/>
        <w:rPr>
          <w:rFonts w:hint="default"/>
          <w:lang w:val="en-US" w:eastAsia="zh-CN"/>
        </w:rPr>
      </w:pPr>
      <w:r>
        <w:rPr>
          <w:rFonts w:hint="default"/>
          <w:lang w:val="en-US" w:eastAsia="zh-CN"/>
        </w:rPr>
        <w:t>银行账号：34050171190800002393</w:t>
      </w:r>
    </w:p>
    <w:p w14:paraId="4092D77D">
      <w:pPr>
        <w:pStyle w:val="19"/>
        <w:rPr>
          <w:rFonts w:hint="default"/>
          <w:lang w:val="en-US" w:eastAsia="zh-CN"/>
        </w:rPr>
      </w:pPr>
      <w:r>
        <w:rPr>
          <w:rFonts w:hint="default"/>
          <w:lang w:val="en-US" w:eastAsia="zh-CN"/>
        </w:rPr>
        <w:t>开户行：中国建设银行股份有限公司界首支行</w:t>
      </w:r>
    </w:p>
    <w:p w14:paraId="79B11E7D">
      <w:pPr>
        <w:pStyle w:val="19"/>
        <w:rPr>
          <w:rFonts w:hint="default"/>
          <w:lang w:val="en-US" w:eastAsia="zh-CN"/>
        </w:rPr>
      </w:pPr>
    </w:p>
    <w:p w14:paraId="334CC2F5">
      <w:pPr>
        <w:pStyle w:val="19"/>
        <w:rPr>
          <w:rFonts w:hint="default"/>
          <w:lang w:val="en-US" w:eastAsia="zh-CN"/>
        </w:rPr>
      </w:pPr>
    </w:p>
    <w:p w14:paraId="0A67B69F">
      <w:pPr>
        <w:pStyle w:val="19"/>
      </w:pPr>
    </w:p>
    <w:p w14:paraId="21545250">
      <w:pPr>
        <w:pStyle w:val="19"/>
      </w:pPr>
    </w:p>
    <w:sectPr>
      <w:type w:val="continuous"/>
      <w:pgSz w:w="12240" w:h="15840"/>
      <w:pgMar w:top="1440" w:right="1800" w:bottom="1440" w:left="1800" w:header="720" w:footer="720" w:gutter="0"/>
      <w:cols w:space="425"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S Gothic">
    <w:panose1 w:val="020B0609070205080204"/>
    <w:charset w:val="80"/>
    <w:family w:val="auto"/>
    <w:pitch w:val="default"/>
    <w:sig w:usb0="E00002FF" w:usb1="6AC7FDFB" w:usb2="08000012" w:usb3="00000000" w:csb0="4002009F" w:csb1="DFD70000"/>
  </w:font>
  <w:font w:name="Courier">
    <w:altName w:val="Courier New"/>
    <w:panose1 w:val="02000500000000000000"/>
    <w:charset w:val="00"/>
    <w:family w:val="auto"/>
    <w:pitch w:val="default"/>
    <w:sig w:usb0="00000000" w:usb1="00000000" w:usb2="00000000" w:usb3="00000000" w:csb0="00000001" w:csb1="00000000"/>
  </w:font>
  <w:font w:name="ＭＳ 明朝">
    <w:altName w:val="Yu Gothic"/>
    <w:panose1 w:val="00000000000000000000"/>
    <w:charset w:val="80"/>
    <w:family w:val="roman"/>
    <w:pitch w:val="default"/>
    <w:sig w:usb0="00000000" w:usb1="00000000" w:usb2="00000010" w:usb3="00000000" w:csb0="00020000"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802482">
    <w:pPr>
      <w:pStyle w:val="24"/>
    </w:pPr>
    <w:r>
      <w:rPr>
        <w:sz w:val="2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2F6E0D">
                          <w:pPr>
                            <w:pStyle w:val="2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12F6E0D">
                    <w:pPr>
                      <w:pStyle w:val="2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DFAE40"/>
    <w:multiLevelType w:val="singleLevel"/>
    <w:tmpl w:val="B8DFAE40"/>
    <w:lvl w:ilvl="0" w:tentative="0">
      <w:start w:val="6"/>
      <w:numFmt w:val="decimal"/>
      <w:suff w:val="space"/>
      <w:lvlText w:val="%1."/>
      <w:lvlJc w:val="left"/>
    </w:lvl>
  </w:abstractNum>
  <w:abstractNum w:abstractNumId="1">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2">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3">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4">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5">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6">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abstractNum w:abstractNumId="7">
    <w:nsid w:val="1F8E5F08"/>
    <w:multiLevelType w:val="singleLevel"/>
    <w:tmpl w:val="1F8E5F08"/>
    <w:lvl w:ilvl="0" w:tentative="0">
      <w:start w:val="2"/>
      <w:numFmt w:val="decimal"/>
      <w:lvlText w:val="%1."/>
      <w:lvlJc w:val="left"/>
      <w:pPr>
        <w:tabs>
          <w:tab w:val="left" w:pos="312"/>
        </w:tabs>
      </w:pPr>
    </w:lvl>
  </w:abstractNum>
  <w:num w:numId="1">
    <w:abstractNumId w:val="2"/>
  </w:num>
  <w:num w:numId="2">
    <w:abstractNumId w:val="5"/>
  </w:num>
  <w:num w:numId="3">
    <w:abstractNumId w:val="6"/>
  </w:num>
  <w:num w:numId="4">
    <w:abstractNumId w:val="3"/>
  </w:num>
  <w:num w:numId="5">
    <w:abstractNumId w:val="1"/>
  </w:num>
  <w:num w:numId="6">
    <w:abstractNumId w:val="4"/>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lZWU2MzBjOGNkYjM3MWQwOWVkYWY3MzIzY2Q1NWMifQ=="/>
  </w:docVars>
  <w:rsids>
    <w:rsidRoot w:val="00B47730"/>
    <w:rsid w:val="00034616"/>
    <w:rsid w:val="0006063C"/>
    <w:rsid w:val="0015074B"/>
    <w:rsid w:val="0029639D"/>
    <w:rsid w:val="00326F90"/>
    <w:rsid w:val="00AA1D8D"/>
    <w:rsid w:val="00B47730"/>
    <w:rsid w:val="00CB0664"/>
    <w:rsid w:val="00FC693F"/>
    <w:rsid w:val="258E5433"/>
    <w:rsid w:val="2B8D198B"/>
    <w:rsid w:val="2BAE72A2"/>
    <w:rsid w:val="333F6710"/>
    <w:rsid w:val="67DA443E"/>
    <w:rsid w:val="6974112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unhideWhenUsed="0" w:uiPriority="65" w:semiHidden="0" w:name="Medium List 1 Accent 6"/>
    <w:lsdException w:qFormat="1" w:unhideWhenUsed="0" w:uiPriority="66" w:semiHidden="0" w:name="Medium List 2 Accent 6"/>
    <w:lsdException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autoRedefine/>
    <w:qFormat/>
    <w:uiPriority w:val="0"/>
    <w:pPr>
      <w:spacing w:after="200" w:line="276" w:lineRule="auto"/>
    </w:pPr>
    <w:rPr>
      <w:rFonts w:ascii="微软雅黑" w:hAnsi="微软雅黑" w:eastAsia="微软雅黑" w:cstheme="minorBidi"/>
      <w:sz w:val="22"/>
      <w:szCs w:val="22"/>
      <w:lang w:val="en-US" w:eastAsia="en-US" w:bidi="ar-SA"/>
    </w:rPr>
  </w:style>
  <w:style w:type="paragraph" w:styleId="3">
    <w:name w:val="heading 1"/>
    <w:basedOn w:val="1"/>
    <w:next w:val="1"/>
    <w:link w:val="139"/>
    <w:autoRedefine/>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40"/>
    <w:autoRedefine/>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1"/>
    <w:autoRedefine/>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1"/>
    <w:autoRedefine/>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2"/>
    <w:autoRedefine/>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3"/>
    <w:autoRedefine/>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4"/>
    <w:autoRedefine/>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5"/>
    <w:autoRedefine/>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6"/>
    <w:autoRedefine/>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3">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2">
    <w:name w:val="macro"/>
    <w:link w:val="148"/>
    <w:autoRedefine/>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autoRedefine/>
    <w:unhideWhenUsed/>
    <w:qFormat/>
    <w:uiPriority w:val="99"/>
    <w:pPr>
      <w:ind w:left="1080" w:hanging="360"/>
      <w:contextualSpacing/>
    </w:pPr>
  </w:style>
  <w:style w:type="paragraph" w:styleId="13">
    <w:name w:val="List Number 2"/>
    <w:basedOn w:val="1"/>
    <w:autoRedefine/>
    <w:unhideWhenUsed/>
    <w:qFormat/>
    <w:uiPriority w:val="99"/>
    <w:pPr>
      <w:numPr>
        <w:ilvl w:val="0"/>
        <w:numId w:val="1"/>
      </w:numPr>
      <w:contextualSpacing/>
    </w:pPr>
  </w:style>
  <w:style w:type="paragraph" w:styleId="14">
    <w:name w:val="List Number"/>
    <w:basedOn w:val="1"/>
    <w:autoRedefine/>
    <w:unhideWhenUsed/>
    <w:qFormat/>
    <w:uiPriority w:val="99"/>
    <w:pPr>
      <w:numPr>
        <w:ilvl w:val="0"/>
        <w:numId w:val="2"/>
      </w:numPr>
      <w:contextualSpacing/>
    </w:pPr>
  </w:style>
  <w:style w:type="paragraph" w:styleId="15">
    <w:name w:val="caption"/>
    <w:basedOn w:val="1"/>
    <w:next w:val="1"/>
    <w:autoRedefine/>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autoRedefine/>
    <w:unhideWhenUsed/>
    <w:qFormat/>
    <w:uiPriority w:val="99"/>
    <w:pPr>
      <w:numPr>
        <w:ilvl w:val="0"/>
        <w:numId w:val="3"/>
      </w:numPr>
      <w:contextualSpacing/>
    </w:pPr>
  </w:style>
  <w:style w:type="paragraph" w:styleId="17">
    <w:name w:val="Body Text 3"/>
    <w:basedOn w:val="1"/>
    <w:link w:val="147"/>
    <w:autoRedefine/>
    <w:unhideWhenUsed/>
    <w:qFormat/>
    <w:uiPriority w:val="99"/>
    <w:pPr>
      <w:spacing w:after="120"/>
    </w:pPr>
    <w:rPr>
      <w:sz w:val="16"/>
      <w:szCs w:val="16"/>
    </w:rPr>
  </w:style>
  <w:style w:type="paragraph" w:styleId="18">
    <w:name w:val="List Bullet 3"/>
    <w:basedOn w:val="1"/>
    <w:autoRedefine/>
    <w:unhideWhenUsed/>
    <w:qFormat/>
    <w:uiPriority w:val="99"/>
    <w:pPr>
      <w:numPr>
        <w:ilvl w:val="0"/>
        <w:numId w:val="4"/>
      </w:numPr>
      <w:contextualSpacing/>
    </w:pPr>
  </w:style>
  <w:style w:type="paragraph" w:styleId="19">
    <w:name w:val="Body Text"/>
    <w:basedOn w:val="1"/>
    <w:link w:val="145"/>
    <w:autoRedefine/>
    <w:unhideWhenUsed/>
    <w:qFormat/>
    <w:uiPriority w:val="99"/>
    <w:pPr>
      <w:spacing w:after="120"/>
    </w:pPr>
  </w:style>
  <w:style w:type="paragraph" w:styleId="20">
    <w:name w:val="List Number 3"/>
    <w:basedOn w:val="1"/>
    <w:autoRedefine/>
    <w:unhideWhenUsed/>
    <w:qFormat/>
    <w:uiPriority w:val="99"/>
    <w:pPr>
      <w:numPr>
        <w:ilvl w:val="0"/>
        <w:numId w:val="5"/>
      </w:numPr>
      <w:contextualSpacing/>
    </w:pPr>
  </w:style>
  <w:style w:type="paragraph" w:styleId="21">
    <w:name w:val="List 2"/>
    <w:basedOn w:val="1"/>
    <w:autoRedefine/>
    <w:unhideWhenUsed/>
    <w:qFormat/>
    <w:uiPriority w:val="99"/>
    <w:pPr>
      <w:ind w:left="720" w:hanging="360"/>
      <w:contextualSpacing/>
    </w:pPr>
  </w:style>
  <w:style w:type="paragraph" w:styleId="22">
    <w:name w:val="List Continue"/>
    <w:basedOn w:val="1"/>
    <w:autoRedefine/>
    <w:unhideWhenUsed/>
    <w:qFormat/>
    <w:uiPriority w:val="99"/>
    <w:pPr>
      <w:spacing w:after="120"/>
      <w:ind w:left="360"/>
      <w:contextualSpacing/>
    </w:pPr>
  </w:style>
  <w:style w:type="paragraph" w:styleId="23">
    <w:name w:val="List Bullet 2"/>
    <w:basedOn w:val="1"/>
    <w:unhideWhenUsed/>
    <w:qFormat/>
    <w:uiPriority w:val="99"/>
    <w:pPr>
      <w:numPr>
        <w:ilvl w:val="0"/>
        <w:numId w:val="6"/>
      </w:numPr>
      <w:contextualSpacing/>
    </w:pPr>
  </w:style>
  <w:style w:type="paragraph" w:styleId="24">
    <w:name w:val="footer"/>
    <w:basedOn w:val="1"/>
    <w:link w:val="137"/>
    <w:unhideWhenUsed/>
    <w:qFormat/>
    <w:uiPriority w:val="99"/>
    <w:pPr>
      <w:tabs>
        <w:tab w:val="center" w:pos="4680"/>
        <w:tab w:val="right" w:pos="9360"/>
      </w:tabs>
      <w:spacing w:after="0" w:line="240" w:lineRule="auto"/>
    </w:pPr>
  </w:style>
  <w:style w:type="paragraph" w:styleId="25">
    <w:name w:val="header"/>
    <w:basedOn w:val="1"/>
    <w:link w:val="136"/>
    <w:autoRedefine/>
    <w:unhideWhenUsed/>
    <w:qFormat/>
    <w:uiPriority w:val="99"/>
    <w:pPr>
      <w:tabs>
        <w:tab w:val="center" w:pos="4680"/>
        <w:tab w:val="right" w:pos="9360"/>
      </w:tabs>
      <w:spacing w:after="0" w:line="240" w:lineRule="auto"/>
    </w:pPr>
  </w:style>
  <w:style w:type="paragraph" w:styleId="26">
    <w:name w:val="Subtitle"/>
    <w:basedOn w:val="1"/>
    <w:next w:val="1"/>
    <w:link w:val="143"/>
    <w:autoRedefine/>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autoRedefine/>
    <w:unhideWhenUsed/>
    <w:qFormat/>
    <w:uiPriority w:val="99"/>
    <w:pPr>
      <w:ind w:left="360" w:hanging="360"/>
      <w:contextualSpacing/>
    </w:pPr>
  </w:style>
  <w:style w:type="paragraph" w:styleId="28">
    <w:name w:val="Body Text 2"/>
    <w:basedOn w:val="1"/>
    <w:link w:val="146"/>
    <w:autoRedefine/>
    <w:unhideWhenUsed/>
    <w:qFormat/>
    <w:uiPriority w:val="99"/>
    <w:pPr>
      <w:spacing w:after="120" w:line="480" w:lineRule="auto"/>
    </w:pPr>
  </w:style>
  <w:style w:type="paragraph" w:styleId="29">
    <w:name w:val="List Continue 2"/>
    <w:basedOn w:val="1"/>
    <w:autoRedefine/>
    <w:unhideWhenUsed/>
    <w:qFormat/>
    <w:uiPriority w:val="99"/>
    <w:pPr>
      <w:spacing w:after="120"/>
      <w:ind w:left="720"/>
      <w:contextualSpacing/>
    </w:pPr>
  </w:style>
  <w:style w:type="paragraph" w:styleId="30">
    <w:name w:val="List Continue 3"/>
    <w:basedOn w:val="1"/>
    <w:autoRedefine/>
    <w:unhideWhenUsed/>
    <w:qFormat/>
    <w:uiPriority w:val="99"/>
    <w:pPr>
      <w:spacing w:after="120"/>
      <w:ind w:left="1080"/>
      <w:contextualSpacing/>
    </w:pPr>
  </w:style>
  <w:style w:type="paragraph" w:styleId="31">
    <w:name w:val="Title"/>
    <w:basedOn w:val="1"/>
    <w:next w:val="1"/>
    <w:link w:val="142"/>
    <w:autoRedefine/>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paragraph" w:styleId="32">
    <w:name w:val="Body Text First Indent"/>
    <w:basedOn w:val="1"/>
    <w:autoRedefine/>
    <w:qFormat/>
    <w:uiPriority w:val="99"/>
    <w:pPr>
      <w:spacing w:after="120" w:line="240" w:lineRule="auto"/>
      <w:ind w:firstLine="100" w:firstLineChars="100"/>
    </w:pPr>
    <w:rPr>
      <w:rFonts w:ascii="Times New Roman"/>
      <w:color w:val="auto"/>
      <w:sz w:val="21"/>
    </w:rPr>
  </w:style>
  <w:style w:type="table" w:styleId="34">
    <w:name w:val="Table Grid"/>
    <w:basedOn w:val="33"/>
    <w:autoRedefine/>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5">
    <w:name w:val="Light Shading"/>
    <w:basedOn w:val="33"/>
    <w:autoRedefine/>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6">
    <w:name w:val="Light Shading Accent 1"/>
    <w:basedOn w:val="33"/>
    <w:autoRedefine/>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7">
    <w:name w:val="Light Shading Accent 2"/>
    <w:basedOn w:val="33"/>
    <w:autoRedefine/>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8">
    <w:name w:val="Light Shading Accent 3"/>
    <w:basedOn w:val="33"/>
    <w:autoRedefine/>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9">
    <w:name w:val="Light Shading Accent 4"/>
    <w:basedOn w:val="33"/>
    <w:autoRedefine/>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0">
    <w:name w:val="Light Shading Accent 5"/>
    <w:basedOn w:val="33"/>
    <w:autoRedefine/>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1">
    <w:name w:val="Light Shading Accent 6"/>
    <w:basedOn w:val="33"/>
    <w:autoRedefine/>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2">
    <w:name w:val="Light List"/>
    <w:basedOn w:val="33"/>
    <w:autoRedefine/>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3">
    <w:name w:val="Light List Accent 1"/>
    <w:basedOn w:val="33"/>
    <w:autoRedefine/>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4">
    <w:name w:val="Light List Accent 2"/>
    <w:basedOn w:val="33"/>
    <w:autoRedefine/>
    <w:qFormat/>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5">
    <w:name w:val="Light List Accent 3"/>
    <w:basedOn w:val="33"/>
    <w:autoRedefine/>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6">
    <w:name w:val="Light List Accent 4"/>
    <w:basedOn w:val="33"/>
    <w:autoRedefine/>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7">
    <w:name w:val="Light List Accent 5"/>
    <w:basedOn w:val="33"/>
    <w:autoRedefine/>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8">
    <w:name w:val="Light List Accent 6"/>
    <w:basedOn w:val="33"/>
    <w:autoRedefine/>
    <w:qFormat/>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9">
    <w:name w:val="Light Grid"/>
    <w:basedOn w:val="33"/>
    <w:autoRedefine/>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0">
    <w:name w:val="Light Grid Accent 1"/>
    <w:basedOn w:val="33"/>
    <w:autoRedefine/>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1">
    <w:name w:val="Light Grid Accent 2"/>
    <w:basedOn w:val="33"/>
    <w:autoRedefine/>
    <w:qFormat/>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2">
    <w:name w:val="Light Grid Accent 3"/>
    <w:basedOn w:val="33"/>
    <w:autoRedefine/>
    <w:qFormat/>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3">
    <w:name w:val="Light Grid Accent 4"/>
    <w:basedOn w:val="33"/>
    <w:autoRedefine/>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4">
    <w:name w:val="Light Grid Accent 5"/>
    <w:basedOn w:val="33"/>
    <w:autoRedefine/>
    <w:qFormat/>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5">
    <w:name w:val="Light Grid Accent 6"/>
    <w:basedOn w:val="33"/>
    <w:autoRedefine/>
    <w:qFormat/>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6">
    <w:name w:val="Medium Shading 1"/>
    <w:basedOn w:val="33"/>
    <w:autoRedefine/>
    <w:qFormat/>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7">
    <w:name w:val="Medium Shading 1 Accent 1"/>
    <w:basedOn w:val="33"/>
    <w:autoRedefine/>
    <w:qFormat/>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8">
    <w:name w:val="Medium Shading 1 Accent 2"/>
    <w:basedOn w:val="33"/>
    <w:autoRedefine/>
    <w:qFormat/>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9">
    <w:name w:val="Medium Shading 1 Accent 3"/>
    <w:basedOn w:val="33"/>
    <w:autoRedefine/>
    <w:qFormat/>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0">
    <w:name w:val="Medium Shading 1 Accent 4"/>
    <w:basedOn w:val="33"/>
    <w:autoRedefine/>
    <w:qFormat/>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1">
    <w:name w:val="Medium Shading 1 Accent 5"/>
    <w:basedOn w:val="33"/>
    <w:autoRedefine/>
    <w:qFormat/>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2">
    <w:name w:val="Medium Shading 1 Accent 6"/>
    <w:basedOn w:val="33"/>
    <w:autoRedefine/>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3">
    <w:name w:val="Medium Shading 2"/>
    <w:basedOn w:val="33"/>
    <w:autoRedefine/>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1"/>
    <w:basedOn w:val="33"/>
    <w:autoRedefine/>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2"/>
    <w:basedOn w:val="33"/>
    <w:autoRedefine/>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3"/>
    <w:basedOn w:val="33"/>
    <w:autoRedefine/>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4"/>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5"/>
    <w:basedOn w:val="33"/>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6"/>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List 1"/>
    <w:basedOn w:val="33"/>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1">
    <w:name w:val="Medium List 1 Accent 1"/>
    <w:basedOn w:val="33"/>
    <w:qFormat/>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2">
    <w:name w:val="Medium List 1 Accent 2"/>
    <w:basedOn w:val="33"/>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3">
    <w:name w:val="Medium List 1 Accent 3"/>
    <w:basedOn w:val="33"/>
    <w:qFormat/>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4">
    <w:name w:val="Medium List 1 Accent 4"/>
    <w:basedOn w:val="33"/>
    <w:qFormat/>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5">
    <w:name w:val="Medium List 1 Accent 5"/>
    <w:basedOn w:val="33"/>
    <w:qFormat/>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6">
    <w:name w:val="Medium List 1 Accent 6"/>
    <w:basedOn w:val="33"/>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7">
    <w:name w:val="Medium List 2"/>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1"/>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2"/>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3"/>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4"/>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5"/>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6"/>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Grid 1"/>
    <w:basedOn w:val="33"/>
    <w:qFormat/>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5">
    <w:name w:val="Medium Grid 1 Accent 1"/>
    <w:basedOn w:val="33"/>
    <w:qFormat/>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6">
    <w:name w:val="Medium Grid 1 Accent 2"/>
    <w:basedOn w:val="33"/>
    <w:qFormat/>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7">
    <w:name w:val="Medium Grid 1 Accent 3"/>
    <w:basedOn w:val="33"/>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8">
    <w:name w:val="Medium Grid 1 Accent 4"/>
    <w:basedOn w:val="33"/>
    <w:qFormat/>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9">
    <w:name w:val="Medium Grid 1 Accent 5"/>
    <w:basedOn w:val="33"/>
    <w:qFormat/>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0">
    <w:name w:val="Medium Grid 1 Accent 6"/>
    <w:basedOn w:val="33"/>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1">
    <w:name w:val="Medium Grid 2"/>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2">
    <w:name w:val="Medium Grid 2 Accent 1"/>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3">
    <w:name w:val="Medium Grid 2 Accent 2"/>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4">
    <w:name w:val="Medium Grid 2 Accent 3"/>
    <w:basedOn w:val="33"/>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5">
    <w:name w:val="Medium Grid 2 Accent 4"/>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6">
    <w:name w:val="Medium Grid 2 Accent 5"/>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7">
    <w:name w:val="Medium Grid 2 Accent 6"/>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8">
    <w:name w:val="Medium Grid 3"/>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9">
    <w:name w:val="Medium Grid 3 Accent 1"/>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0">
    <w:name w:val="Medium Grid 3 Accent 2"/>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1">
    <w:name w:val="Medium Grid 3 Accent 3"/>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2">
    <w:name w:val="Medium Grid 3 Accent 4"/>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3">
    <w:name w:val="Medium Grid 3 Accent 5"/>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4">
    <w:name w:val="Medium Grid 3 Accent 6"/>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5">
    <w:name w:val="Dark List"/>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6">
    <w:name w:val="Dark List Accent 1"/>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7">
    <w:name w:val="Dark List Accent 2"/>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8">
    <w:name w:val="Dark List Accent 3"/>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9">
    <w:name w:val="Dark List Accent 4"/>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0">
    <w:name w:val="Dark List Accent 5"/>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1">
    <w:name w:val="Dark List Accent 6"/>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2">
    <w:name w:val="Colorful Shading"/>
    <w:basedOn w:val="33"/>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1"/>
    <w:basedOn w:val="33"/>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2"/>
    <w:basedOn w:val="33"/>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5">
    <w:name w:val="Colorful Shading Accent 3"/>
    <w:basedOn w:val="33"/>
    <w:qFormat/>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6">
    <w:name w:val="Colorful Shading Accent 4"/>
    <w:basedOn w:val="33"/>
    <w:qFormat/>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5"/>
    <w:basedOn w:val="33"/>
    <w:qFormat/>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6"/>
    <w:basedOn w:val="33"/>
    <w:qFormat/>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List"/>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0">
    <w:name w:val="Colorful List Accent 1"/>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1">
    <w:name w:val="Colorful List Accent 2"/>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2">
    <w:name w:val="Colorful List Accent 3"/>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3">
    <w:name w:val="Colorful List Accent 4"/>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4">
    <w:name w:val="Colorful List Accent 5"/>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5">
    <w:name w:val="Colorful List Accent 6"/>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6">
    <w:name w:val="Colorful Grid"/>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7">
    <w:name w:val="Colorful Grid Accent 1"/>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8">
    <w:name w:val="Colorful Grid Accent 2"/>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9">
    <w:name w:val="Colorful Grid Accent 3"/>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0">
    <w:name w:val="Colorful Grid Accent 4"/>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1">
    <w:name w:val="Colorful Grid Accent 5"/>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2">
    <w:name w:val="Colorful Grid Accent 6"/>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4">
    <w:name w:val="Strong"/>
    <w:basedOn w:val="133"/>
    <w:autoRedefine/>
    <w:qFormat/>
    <w:uiPriority w:val="22"/>
    <w:rPr>
      <w:b/>
      <w:bCs/>
    </w:rPr>
  </w:style>
  <w:style w:type="character" w:styleId="135">
    <w:name w:val="Emphasis"/>
    <w:basedOn w:val="133"/>
    <w:autoRedefine/>
    <w:qFormat/>
    <w:uiPriority w:val="20"/>
    <w:rPr>
      <w:i/>
      <w:iCs/>
    </w:rPr>
  </w:style>
  <w:style w:type="character" w:customStyle="1" w:styleId="136">
    <w:name w:val="Header Char"/>
    <w:basedOn w:val="133"/>
    <w:link w:val="25"/>
    <w:qFormat/>
    <w:uiPriority w:val="99"/>
  </w:style>
  <w:style w:type="character" w:customStyle="1" w:styleId="137">
    <w:name w:val="Footer Char"/>
    <w:basedOn w:val="133"/>
    <w:link w:val="24"/>
    <w:uiPriority w:val="99"/>
  </w:style>
  <w:style w:type="paragraph" w:styleId="138">
    <w:name w:val="No Spacing"/>
    <w:autoRedefine/>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9">
    <w:name w:val="Heading 1 Char"/>
    <w:basedOn w:val="133"/>
    <w:link w:val="3"/>
    <w:autoRedefine/>
    <w:qFormat/>
    <w:uiPriority w:val="9"/>
    <w:rPr>
      <w:rFonts w:asciiTheme="majorHAnsi" w:hAnsiTheme="majorHAnsi" w:eastAsiaTheme="majorEastAsia" w:cstheme="majorBidi"/>
      <w:b/>
      <w:bCs/>
      <w:color w:val="376092" w:themeColor="accent1" w:themeShade="BF"/>
      <w:sz w:val="28"/>
      <w:szCs w:val="28"/>
    </w:rPr>
  </w:style>
  <w:style w:type="character" w:customStyle="1" w:styleId="140">
    <w:name w:val="Heading 2 Char"/>
    <w:basedOn w:val="133"/>
    <w:link w:val="4"/>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1">
    <w:name w:val="Heading 3 Char"/>
    <w:basedOn w:val="133"/>
    <w:link w:val="5"/>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2">
    <w:name w:val="Title Char"/>
    <w:basedOn w:val="133"/>
    <w:link w:val="31"/>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3">
    <w:name w:val="Subtitle Char"/>
    <w:basedOn w:val="133"/>
    <w:link w:val="26"/>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4">
    <w:name w:val="List Paragraph"/>
    <w:basedOn w:val="1"/>
    <w:qFormat/>
    <w:uiPriority w:val="34"/>
    <w:pPr>
      <w:ind w:left="720"/>
      <w:contextualSpacing/>
    </w:pPr>
  </w:style>
  <w:style w:type="character" w:customStyle="1" w:styleId="145">
    <w:name w:val="Body Text Char"/>
    <w:basedOn w:val="133"/>
    <w:link w:val="19"/>
    <w:qFormat/>
    <w:uiPriority w:val="99"/>
  </w:style>
  <w:style w:type="character" w:customStyle="1" w:styleId="146">
    <w:name w:val="Body Text 2 Char"/>
    <w:basedOn w:val="133"/>
    <w:link w:val="28"/>
    <w:qFormat/>
    <w:uiPriority w:val="99"/>
  </w:style>
  <w:style w:type="character" w:customStyle="1" w:styleId="147">
    <w:name w:val="Body Text 3 Char"/>
    <w:basedOn w:val="133"/>
    <w:link w:val="17"/>
    <w:qFormat/>
    <w:uiPriority w:val="99"/>
    <w:rPr>
      <w:sz w:val="16"/>
      <w:szCs w:val="16"/>
    </w:rPr>
  </w:style>
  <w:style w:type="character" w:customStyle="1" w:styleId="148">
    <w:name w:val="Macro Text Char"/>
    <w:basedOn w:val="133"/>
    <w:link w:val="2"/>
    <w:autoRedefine/>
    <w:qFormat/>
    <w:uiPriority w:val="99"/>
    <w:rPr>
      <w:rFonts w:ascii="Courier" w:hAnsi="Courier"/>
      <w:sz w:val="20"/>
      <w:szCs w:val="20"/>
    </w:rPr>
  </w:style>
  <w:style w:type="paragraph" w:styleId="149">
    <w:name w:val="Quote"/>
    <w:basedOn w:val="1"/>
    <w:next w:val="1"/>
    <w:link w:val="150"/>
    <w:qFormat/>
    <w:uiPriority w:val="29"/>
    <w:rPr>
      <w:i/>
      <w:iCs/>
      <w:color w:val="000000" w:themeColor="text1"/>
      <w14:textFill>
        <w14:solidFill>
          <w14:schemeClr w14:val="tx1"/>
        </w14:solidFill>
      </w14:textFill>
    </w:rPr>
  </w:style>
  <w:style w:type="character" w:customStyle="1" w:styleId="150">
    <w:name w:val="Quote Char"/>
    <w:basedOn w:val="133"/>
    <w:link w:val="149"/>
    <w:autoRedefine/>
    <w:qFormat/>
    <w:uiPriority w:val="29"/>
    <w:rPr>
      <w:i/>
      <w:iCs/>
      <w:color w:val="000000" w:themeColor="text1"/>
      <w14:textFill>
        <w14:solidFill>
          <w14:schemeClr w14:val="tx1"/>
        </w14:solidFill>
      </w14:textFill>
    </w:rPr>
  </w:style>
  <w:style w:type="character" w:customStyle="1" w:styleId="151">
    <w:name w:val="Heading 4 Char"/>
    <w:basedOn w:val="133"/>
    <w:link w:val="6"/>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2">
    <w:name w:val="Heading 5 Char"/>
    <w:basedOn w:val="133"/>
    <w:link w:val="7"/>
    <w:semiHidden/>
    <w:qFormat/>
    <w:uiPriority w:val="9"/>
    <w:rPr>
      <w:rFonts w:asciiTheme="majorHAnsi" w:hAnsiTheme="majorHAnsi" w:eastAsiaTheme="majorEastAsia" w:cstheme="majorBidi"/>
      <w:color w:val="254061" w:themeColor="accent1" w:themeShade="80"/>
    </w:rPr>
  </w:style>
  <w:style w:type="character" w:customStyle="1" w:styleId="153">
    <w:name w:val="Heading 6 Char"/>
    <w:basedOn w:val="133"/>
    <w:link w:val="8"/>
    <w:semiHidden/>
    <w:qFormat/>
    <w:uiPriority w:val="9"/>
    <w:rPr>
      <w:rFonts w:asciiTheme="majorHAnsi" w:hAnsiTheme="majorHAnsi" w:eastAsiaTheme="majorEastAsia" w:cstheme="majorBidi"/>
      <w:i/>
      <w:iCs/>
      <w:color w:val="254061" w:themeColor="accent1" w:themeShade="80"/>
    </w:rPr>
  </w:style>
  <w:style w:type="character" w:customStyle="1" w:styleId="154">
    <w:name w:val="Heading 7 Char"/>
    <w:basedOn w:val="133"/>
    <w:link w:val="9"/>
    <w:autoRedefine/>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5">
    <w:name w:val="Heading 8 Char"/>
    <w:basedOn w:val="133"/>
    <w:link w:val="10"/>
    <w:autoRedefine/>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6">
    <w:name w:val="Heading 9 Char"/>
    <w:basedOn w:val="133"/>
    <w:link w:val="11"/>
    <w:autoRedefine/>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7">
    <w:name w:val="Intense Quote"/>
    <w:basedOn w:val="1"/>
    <w:next w:val="1"/>
    <w:link w:val="158"/>
    <w:autoRedefine/>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8">
    <w:name w:val="Intense Quote Char"/>
    <w:basedOn w:val="133"/>
    <w:link w:val="157"/>
    <w:qFormat/>
    <w:uiPriority w:val="30"/>
    <w:rPr>
      <w:b/>
      <w:bCs/>
      <w:i/>
      <w:iCs/>
      <w:color w:val="4F81BD" w:themeColor="accent1"/>
      <w14:textFill>
        <w14:solidFill>
          <w14:schemeClr w14:val="accent1"/>
        </w14:solidFill>
      </w14:textFill>
    </w:rPr>
  </w:style>
  <w:style w:type="character" w:customStyle="1" w:styleId="159">
    <w:name w:val="Subtle Emphasis"/>
    <w:basedOn w:val="133"/>
    <w:qFormat/>
    <w:uiPriority w:val="19"/>
    <w:rPr>
      <w:i/>
      <w:iCs/>
      <w:color w:val="808080" w:themeColor="text1" w:themeTint="80"/>
      <w14:textFill>
        <w14:solidFill>
          <w14:schemeClr w14:val="tx1">
            <w14:lumMod w14:val="50000"/>
            <w14:lumOff w14:val="50000"/>
          </w14:schemeClr>
        </w14:solidFill>
      </w14:textFill>
    </w:rPr>
  </w:style>
  <w:style w:type="character" w:customStyle="1" w:styleId="160">
    <w:name w:val="Intense Emphasis"/>
    <w:basedOn w:val="133"/>
    <w:qFormat/>
    <w:uiPriority w:val="21"/>
    <w:rPr>
      <w:b/>
      <w:bCs/>
      <w:i/>
      <w:iCs/>
      <w:color w:val="4F81BD" w:themeColor="accent1"/>
      <w14:textFill>
        <w14:solidFill>
          <w14:schemeClr w14:val="accent1"/>
        </w14:solidFill>
      </w14:textFill>
    </w:rPr>
  </w:style>
  <w:style w:type="character" w:customStyle="1" w:styleId="161">
    <w:name w:val="Subtle Reference"/>
    <w:basedOn w:val="133"/>
    <w:autoRedefine/>
    <w:qFormat/>
    <w:uiPriority w:val="31"/>
    <w:rPr>
      <w:smallCaps/>
      <w:color w:val="C0504D" w:themeColor="accent2"/>
      <w:u w:val="single"/>
      <w14:textFill>
        <w14:solidFill>
          <w14:schemeClr w14:val="accent2"/>
        </w14:solidFill>
      </w14:textFill>
    </w:rPr>
  </w:style>
  <w:style w:type="character" w:customStyle="1" w:styleId="162">
    <w:name w:val="Intense Reference"/>
    <w:basedOn w:val="133"/>
    <w:qFormat/>
    <w:uiPriority w:val="32"/>
    <w:rPr>
      <w:b/>
      <w:bCs/>
      <w:smallCaps/>
      <w:color w:val="C0504D" w:themeColor="accent2"/>
      <w:spacing w:val="5"/>
      <w:u w:val="single"/>
      <w14:textFill>
        <w14:solidFill>
          <w14:schemeClr w14:val="accent2"/>
        </w14:solidFill>
      </w14:textFill>
    </w:rPr>
  </w:style>
  <w:style w:type="character" w:customStyle="1" w:styleId="163">
    <w:name w:val="Book Title"/>
    <w:basedOn w:val="133"/>
    <w:qFormat/>
    <w:uiPriority w:val="33"/>
    <w:rPr>
      <w:b/>
      <w:bCs/>
      <w:smallCaps/>
      <w:spacing w:val="5"/>
    </w:rPr>
  </w:style>
  <w:style w:type="paragraph" w:customStyle="1" w:styleId="164">
    <w:name w:val="TOC Heading"/>
    <w:basedOn w:val="3"/>
    <w:next w:val="1"/>
    <w:autoRedefine/>
    <w:semiHidden/>
    <w:unhideWhenUsed/>
    <w:qFormat/>
    <w:uiPriority w:val="39"/>
    <w:pPr>
      <w:outlineLvl w:val="9"/>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5061</Words>
  <Characters>5286</Characters>
  <Lines>0</Lines>
  <Paragraphs>0</Paragraphs>
  <TotalTime>0</TotalTime>
  <ScaleCrop>false</ScaleCrop>
  <LinksUpToDate>false</LinksUpToDate>
  <CharactersWithSpaces>5429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王岩</cp:lastModifiedBy>
  <dcterms:modified xsi:type="dcterms:W3CDTF">2024-08-30T06:51:39Z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0E657BED3D5342B1BEE6B1F676AF21B7_13</vt:lpwstr>
  </property>
</Properties>
</file>